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C99F9" w14:textId="77777777" w:rsidR="00723872" w:rsidRPr="00723872" w:rsidRDefault="00723872" w:rsidP="00723872">
      <w:pPr>
        <w:rPr>
          <w:rFonts w:ascii="Candara Light" w:hAnsi="Candara Light"/>
          <w:sz w:val="28"/>
          <w:szCs w:val="28"/>
        </w:rPr>
      </w:pPr>
      <w:r w:rsidRPr="00723872">
        <w:rPr>
          <w:rFonts w:ascii="Candara Light" w:hAnsi="Candara Light"/>
          <w:noProof/>
          <w:sz w:val="28"/>
          <w:szCs w:val="28"/>
          <w:lang w:eastAsia="fr-FR"/>
        </w:rPr>
        <mc:AlternateContent>
          <mc:Choice Requires="wps">
            <w:drawing>
              <wp:anchor distT="0" distB="0" distL="114300" distR="114300" simplePos="0" relativeHeight="251659264" behindDoc="0" locked="0" layoutInCell="1" allowOverlap="1" wp14:anchorId="14F8B29B" wp14:editId="23E8B010">
                <wp:simplePos x="0" y="0"/>
                <wp:positionH relativeFrom="column">
                  <wp:posOffset>19963</wp:posOffset>
                </wp:positionH>
                <wp:positionV relativeFrom="paragraph">
                  <wp:posOffset>-351790</wp:posOffset>
                </wp:positionV>
                <wp:extent cx="6645910" cy="396240"/>
                <wp:effectExtent l="0" t="0" r="21590" b="22860"/>
                <wp:wrapNone/>
                <wp:docPr id="11" name="Rectangle : coins arrondis 11"/>
                <wp:cNvGraphicFramePr/>
                <a:graphic xmlns:a="http://schemas.openxmlformats.org/drawingml/2006/main">
                  <a:graphicData uri="http://schemas.microsoft.com/office/word/2010/wordprocessingShape">
                    <wps:wsp>
                      <wps:cNvSpPr/>
                      <wps:spPr>
                        <a:xfrm>
                          <a:off x="0" y="0"/>
                          <a:ext cx="6645910" cy="396240"/>
                        </a:xfrm>
                        <a:prstGeom prst="roundRect">
                          <a:avLst/>
                        </a:prstGeom>
                        <a:solidFill>
                          <a:schemeClr val="accent1">
                            <a:lumMod val="20000"/>
                            <a:lumOff val="80000"/>
                            <a:alpha val="84000"/>
                          </a:schemeClr>
                        </a:solidFill>
                        <a:ln>
                          <a:solidFill>
                            <a:srgbClr val="002060"/>
                          </a:solidFill>
                        </a:ln>
                      </wps:spPr>
                      <wps:style>
                        <a:lnRef idx="1">
                          <a:schemeClr val="accent6"/>
                        </a:lnRef>
                        <a:fillRef idx="2">
                          <a:schemeClr val="accent6"/>
                        </a:fillRef>
                        <a:effectRef idx="1">
                          <a:schemeClr val="accent6"/>
                        </a:effectRef>
                        <a:fontRef idx="minor">
                          <a:schemeClr val="dk1"/>
                        </a:fontRef>
                      </wps:style>
                      <wps:txbx>
                        <w:txbxContent>
                          <w:p w14:paraId="26CDB833" w14:textId="77777777" w:rsidR="00723872" w:rsidRPr="00A15C21" w:rsidRDefault="00723872" w:rsidP="00723872">
                            <w:pPr>
                              <w:jc w:val="center"/>
                              <w:rPr>
                                <w:rFonts w:ascii="Avenir Next LT Pro Light" w:hAnsi="Avenir Next LT Pro Light"/>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5C21">
                              <w:rPr>
                                <w:rFonts w:ascii="Avenir Next LT Pro Light" w:hAnsi="Avenir Next LT Pro Light"/>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MASTER 1 | UE  302.1| Savoirs et compétences disciplinaires et didactiques en français | </w:t>
                            </w:r>
                          </w:p>
                          <w:p w14:paraId="3D204FFF" w14:textId="77777777" w:rsidR="00723872" w:rsidRPr="00F1392A" w:rsidRDefault="00723872" w:rsidP="00723872">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F8B29B" id="Rectangle : coins arrondis 11" o:spid="_x0000_s1026" style="position:absolute;margin-left:1.55pt;margin-top:-27.7pt;width:523.3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" fillcolor="#c1e4f5 [660]" strokecolor="#002060" strokeweight="1pt">
                <v:fill opacity="54998f"/>
                <v:stroke joinstyle="miter"/>
                <v:textbox>
                  <w:txbxContent>
                    <w:p w14:paraId="26CDB833" w14:textId="77777777" w:rsidR="00723872" w:rsidRPr="00A15C21" w:rsidRDefault="00723872" w:rsidP="00723872">
                      <w:pPr>
                        <w:jc w:val="center"/>
                        <w:rPr>
                          <w:rFonts w:ascii="Avenir Next LT Pro Light" w:hAnsi="Avenir Next LT Pro Light"/>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5C21">
                        <w:rPr>
                          <w:rFonts w:ascii="Avenir Next LT Pro Light" w:hAnsi="Avenir Next LT Pro Light"/>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MASTER 1 | UE  302.1| Savoirs et compétences disciplinaires et didactiques en français | </w:t>
                      </w:r>
                    </w:p>
                    <w:p w14:paraId="3D204FFF" w14:textId="77777777" w:rsidR="00723872" w:rsidRPr="00F1392A" w:rsidRDefault="00723872" w:rsidP="00723872">
                      <w:pPr>
                        <w:jc w:val="center"/>
                        <w:rPr>
                          <w:rFonts w:ascii="Avenir Next LT Pro Light" w:hAnsi="Avenir Next LT Pro Light"/>
                          <w:color w:val="002060"/>
                          <w:sz w:val="24"/>
                          <w:szCs w:val="24"/>
                        </w:rPr>
                      </w:pPr>
                    </w:p>
                  </w:txbxContent>
                </v:textbox>
              </v:roundrect>
            </w:pict>
          </mc:Fallback>
        </mc:AlternateContent>
      </w:r>
    </w:p>
    <w:p w14:paraId="4A6BBA33" w14:textId="77777777" w:rsidR="00723872" w:rsidRPr="00723872" w:rsidRDefault="00723872" w:rsidP="00723872">
      <w:pPr>
        <w:pStyle w:val="Titre1"/>
        <w:jc w:val="center"/>
        <w:rPr>
          <w:rFonts w:ascii="Candara Light" w:hAnsi="Candara Light"/>
        </w:rPr>
      </w:pPr>
      <w:r w:rsidRPr="00723872">
        <w:rPr>
          <w:rFonts w:ascii="Candara Light" w:hAnsi="Candara Light"/>
        </w:rPr>
        <w:t>Feuille de route étudiant</w:t>
      </w:r>
    </w:p>
    <w:tbl>
      <w:tblPr>
        <w:tblStyle w:val="Grilledutableau"/>
        <w:tblW w:w="0" w:type="auto"/>
        <w:tblLook w:val="04A0" w:firstRow="1" w:lastRow="0" w:firstColumn="1" w:lastColumn="0" w:noHBand="0" w:noVBand="1"/>
      </w:tblPr>
      <w:tblGrid>
        <w:gridCol w:w="1747"/>
        <w:gridCol w:w="3937"/>
        <w:gridCol w:w="4284"/>
      </w:tblGrid>
      <w:tr w:rsidR="00723872" w:rsidRPr="00723872" w14:paraId="531A0A4C" w14:textId="77777777" w:rsidTr="005A19CF">
        <w:tc>
          <w:tcPr>
            <w:tcW w:w="1790" w:type="dxa"/>
            <w:vAlign w:val="center"/>
          </w:tcPr>
          <w:p w14:paraId="21D32114" w14:textId="77777777" w:rsidR="00723872" w:rsidRPr="00723872" w:rsidRDefault="00723872" w:rsidP="005A19CF">
            <w:pPr>
              <w:spacing w:after="60"/>
              <w:rPr>
                <w:rFonts w:ascii="Candara Light" w:hAnsi="Candara Light"/>
              </w:rPr>
            </w:pPr>
            <w:r w:rsidRPr="00723872">
              <w:rPr>
                <w:rFonts w:ascii="Candara Light" w:hAnsi="Candara Light"/>
              </w:rPr>
              <w:t>Groupe M2 — A ou B</w:t>
            </w:r>
          </w:p>
        </w:tc>
        <w:tc>
          <w:tcPr>
            <w:tcW w:w="8666" w:type="dxa"/>
            <w:gridSpan w:val="2"/>
            <w:vAlign w:val="center"/>
          </w:tcPr>
          <w:p w14:paraId="3BA8BAFB" w14:textId="77777777" w:rsidR="00723872" w:rsidRPr="00723872" w:rsidRDefault="00723872" w:rsidP="005A19CF">
            <w:pPr>
              <w:spacing w:after="60"/>
              <w:rPr>
                <w:rFonts w:ascii="Candara Light" w:hAnsi="Candara Light"/>
              </w:rPr>
            </w:pPr>
            <w:r w:rsidRPr="00723872">
              <w:rPr>
                <w:rFonts w:ascii="Candara Light" w:hAnsi="Candara Light"/>
              </w:rPr>
              <w:t xml:space="preserve">Noms et prénoms : </w:t>
            </w:r>
          </w:p>
        </w:tc>
      </w:tr>
      <w:tr w:rsidR="00723872" w:rsidRPr="00723872" w14:paraId="61F808D6" w14:textId="77777777" w:rsidTr="005A19CF">
        <w:tc>
          <w:tcPr>
            <w:tcW w:w="1790" w:type="dxa"/>
            <w:vAlign w:val="center"/>
          </w:tcPr>
          <w:p w14:paraId="2909DAA8" w14:textId="77777777" w:rsidR="00723872" w:rsidRPr="00723872" w:rsidRDefault="00723872" w:rsidP="005A19CF">
            <w:pPr>
              <w:jc w:val="both"/>
              <w:rPr>
                <w:rFonts w:ascii="Candara Light" w:hAnsi="Candara Light"/>
              </w:rPr>
            </w:pPr>
            <w:r w:rsidRPr="00723872">
              <w:rPr>
                <w:rFonts w:ascii="Candara Light" w:hAnsi="Candara Light"/>
              </w:rPr>
              <w:t xml:space="preserve">Présentation de l’album </w:t>
            </w:r>
          </w:p>
          <w:p w14:paraId="7A1618B9" w14:textId="77777777" w:rsidR="00723872" w:rsidRPr="00723872" w:rsidRDefault="00723872" w:rsidP="005A19CF">
            <w:pPr>
              <w:jc w:val="both"/>
              <w:rPr>
                <w:rFonts w:ascii="Candara Light" w:hAnsi="Candara Light"/>
              </w:rPr>
            </w:pPr>
            <w:r w:rsidRPr="00723872">
              <w:rPr>
                <w:rFonts w:ascii="Candara Light" w:hAnsi="Candara Light"/>
              </w:rPr>
              <w:t>(Auteur, titre, éditeur, date de 1ère édition)</w:t>
            </w:r>
          </w:p>
        </w:tc>
        <w:tc>
          <w:tcPr>
            <w:tcW w:w="4333" w:type="dxa"/>
            <w:vAlign w:val="center"/>
          </w:tcPr>
          <w:p w14:paraId="3CBF6C2A" w14:textId="77777777" w:rsidR="00723872" w:rsidRPr="00723872" w:rsidRDefault="00723872" w:rsidP="005A19CF">
            <w:pPr>
              <w:spacing w:after="60"/>
              <w:rPr>
                <w:rFonts w:ascii="Candara Light" w:hAnsi="Candara Light"/>
              </w:rPr>
            </w:pPr>
            <w:r w:rsidRPr="00723872">
              <w:rPr>
                <w:rFonts w:ascii="Candara Light" w:hAnsi="Candara Light"/>
              </w:rPr>
              <w:t>Isabelle Carrier, La petite casserole d’Anatole, Bilboquet, 2009. Album narratif illustré dont la sobriété graphique et les interactions entre texte et images soutiennent plusieurs niveaux de lecture.</w:t>
            </w:r>
          </w:p>
        </w:tc>
        <w:tc>
          <w:tcPr>
            <w:tcW w:w="4333" w:type="dxa"/>
            <w:vAlign w:val="center"/>
          </w:tcPr>
          <w:p w14:paraId="16A563F2" w14:textId="77777777" w:rsidR="00723872" w:rsidRPr="00723872" w:rsidRDefault="00723872" w:rsidP="005A19CF">
            <w:pPr>
              <w:spacing w:after="60"/>
              <w:rPr>
                <w:rFonts w:ascii="Candara Light" w:hAnsi="Candara Light"/>
              </w:rPr>
            </w:pPr>
            <w:r w:rsidRPr="00723872">
              <w:rPr>
                <w:rFonts w:ascii="Candara Light" w:hAnsi="Candara Light"/>
                <w:noProof/>
              </w:rPr>
              <w:drawing>
                <wp:inline distT="0" distB="0" distL="0" distR="0" wp14:anchorId="30B721CB" wp14:editId="795B7607">
                  <wp:extent cx="2373853" cy="1747837"/>
                  <wp:effectExtent l="0" t="0" r="7620" b="5080"/>
                  <wp:docPr id="2060355378" name="Image 4" descr="La petite casserole d'Anat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55378" name="Image 4" descr="La petite casserole d'Anatole&#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876" cy="1753744"/>
                          </a:xfrm>
                          <a:prstGeom prst="rect">
                            <a:avLst/>
                          </a:prstGeom>
                          <a:noFill/>
                        </pic:spPr>
                      </pic:pic>
                    </a:graphicData>
                  </a:graphic>
                </wp:inline>
              </w:drawing>
            </w:r>
          </w:p>
        </w:tc>
      </w:tr>
      <w:tr w:rsidR="00723872" w:rsidRPr="00723872" w14:paraId="2AE99B22" w14:textId="77777777" w:rsidTr="005A19CF">
        <w:tc>
          <w:tcPr>
            <w:tcW w:w="1790" w:type="dxa"/>
            <w:vAlign w:val="center"/>
          </w:tcPr>
          <w:p w14:paraId="0377F65A" w14:textId="77777777" w:rsidR="00723872" w:rsidRPr="00723872" w:rsidRDefault="00723872" w:rsidP="005A19CF">
            <w:pPr>
              <w:jc w:val="both"/>
              <w:rPr>
                <w:rFonts w:ascii="Candara Light" w:hAnsi="Candara Light"/>
              </w:rPr>
            </w:pPr>
            <w:r w:rsidRPr="00723872">
              <w:rPr>
                <w:rFonts w:ascii="Candara Light" w:hAnsi="Candara Light"/>
              </w:rPr>
              <w:t>Thème(s) de l’album</w:t>
            </w:r>
          </w:p>
        </w:tc>
        <w:tc>
          <w:tcPr>
            <w:tcW w:w="8666" w:type="dxa"/>
            <w:gridSpan w:val="2"/>
            <w:vAlign w:val="center"/>
          </w:tcPr>
          <w:p w14:paraId="2C3290CC" w14:textId="5B6450E1" w:rsidR="00723872" w:rsidRPr="00723872" w:rsidRDefault="00723872" w:rsidP="005A19CF">
            <w:pPr>
              <w:spacing w:after="60"/>
              <w:rPr>
                <w:rFonts w:ascii="Candara Light" w:hAnsi="Candara Light"/>
              </w:rPr>
            </w:pPr>
            <w:r w:rsidRPr="00723872">
              <w:rPr>
                <w:rFonts w:ascii="Candara Light" w:hAnsi="Candara Light"/>
              </w:rPr>
              <w:t>Singularité, difficultés, regard des autres, empathie, souffrance liée à l’exclusion, entraide et inclusion.</w:t>
            </w:r>
          </w:p>
        </w:tc>
      </w:tr>
      <w:tr w:rsidR="00723872" w:rsidRPr="00723872" w14:paraId="704B8688" w14:textId="77777777" w:rsidTr="005A19CF">
        <w:tc>
          <w:tcPr>
            <w:tcW w:w="1790" w:type="dxa"/>
            <w:vAlign w:val="center"/>
          </w:tcPr>
          <w:p w14:paraId="5EF12398" w14:textId="77777777" w:rsidR="00723872" w:rsidRPr="00723872" w:rsidRDefault="00723872" w:rsidP="005A19CF">
            <w:pPr>
              <w:jc w:val="both"/>
              <w:rPr>
                <w:rFonts w:ascii="Candara Light" w:hAnsi="Candara Light"/>
              </w:rPr>
            </w:pPr>
            <w:r w:rsidRPr="00723872">
              <w:rPr>
                <w:rFonts w:ascii="Candara Light" w:hAnsi="Candara Light"/>
              </w:rPr>
              <w:t>Résumé rapide</w:t>
            </w:r>
          </w:p>
        </w:tc>
        <w:tc>
          <w:tcPr>
            <w:tcW w:w="8666" w:type="dxa"/>
            <w:gridSpan w:val="2"/>
            <w:vAlign w:val="center"/>
          </w:tcPr>
          <w:p w14:paraId="63EF598E" w14:textId="294FE6F1" w:rsidR="00723872" w:rsidRPr="00723872" w:rsidRDefault="00723872" w:rsidP="005A19CF">
            <w:pPr>
              <w:spacing w:after="60"/>
              <w:rPr>
                <w:rFonts w:ascii="Candara Light" w:hAnsi="Candara Light"/>
              </w:rPr>
            </w:pPr>
            <w:r w:rsidRPr="00723872">
              <w:rPr>
                <w:rFonts w:ascii="Candara Light" w:hAnsi="Candara Light"/>
              </w:rPr>
              <w:t>Anatole traine une casserole qui le gêne dans ses déplacements et suscite incompréhension ou rejet. Sensible et créatif, il se sent peu à peu réduit à cette particularité ; les échecs et le regard des autres le conduisent à se cacher. Une adulte attentive l’aide à reconnaitre ses ressources et à trouver des moyens de vivre avec sa casserole. À la fin, il peut jouer avec les autres : la casserole demeure, mais elle n’occupe plus toute la place dans sa vie.</w:t>
            </w:r>
          </w:p>
        </w:tc>
      </w:tr>
      <w:tr w:rsidR="00723872" w:rsidRPr="00723872" w14:paraId="6E001E67" w14:textId="77777777" w:rsidTr="005A19CF">
        <w:tc>
          <w:tcPr>
            <w:tcW w:w="1790" w:type="dxa"/>
            <w:vAlign w:val="center"/>
          </w:tcPr>
          <w:p w14:paraId="1C750978" w14:textId="77777777" w:rsidR="00723872" w:rsidRPr="00723872" w:rsidRDefault="00723872" w:rsidP="005A19CF">
            <w:pPr>
              <w:jc w:val="both"/>
              <w:rPr>
                <w:rFonts w:ascii="Candara Light" w:hAnsi="Candara Light"/>
              </w:rPr>
            </w:pPr>
            <w:r w:rsidRPr="00723872">
              <w:rPr>
                <w:rFonts w:ascii="Candara Light" w:hAnsi="Candara Light"/>
              </w:rPr>
              <w:t>Intérêts littéraires</w:t>
            </w:r>
          </w:p>
        </w:tc>
        <w:tc>
          <w:tcPr>
            <w:tcW w:w="8666" w:type="dxa"/>
            <w:gridSpan w:val="2"/>
            <w:vAlign w:val="center"/>
          </w:tcPr>
          <w:p w14:paraId="50F8F006" w14:textId="046C9EF8"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Le récit repose sur une métaphore visuelle filée : l’objet concret devient </w:t>
            </w:r>
            <w:r>
              <w:rPr>
                <w:rFonts w:ascii="Candara Light" w:hAnsi="Candara Light"/>
              </w:rPr>
              <w:t xml:space="preserve">le </w:t>
            </w:r>
            <w:r w:rsidRPr="00723872">
              <w:rPr>
                <w:rFonts w:ascii="Candara Light" w:hAnsi="Candara Light"/>
              </w:rPr>
              <w:t xml:space="preserve">signe d’une difficulté ou d’une différence. </w:t>
            </w:r>
          </w:p>
          <w:p w14:paraId="791CEF31"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Rapport texte-image intéressant : jeu sur sens propre portée par l’image et sens figuré par le texte.  </w:t>
            </w:r>
          </w:p>
          <w:p w14:paraId="661122E9"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Une fin ouverte qui invite donc à plusieurs interprétations argumentées autour de la question « Anatole a-t-il changé ? », </w:t>
            </w:r>
          </w:p>
          <w:p w14:paraId="3A752514"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Investissement psychoaffectif : l’histoire invite à une lecture empathique du personnage (identification possible également)</w:t>
            </w:r>
          </w:p>
          <w:p w14:paraId="3B1C4157"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Activation du système de valeurs (évaluation axiologique des réactions des autres enfants </w:t>
            </w:r>
          </w:p>
          <w:p w14:paraId="46036E9D"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Qualités littéraires et esthétiques : grande délicatesse des traits et du texte, aspect minimaliste Vs gde expressivité des personnages (visage, onomatopées) </w:t>
            </w:r>
          </w:p>
          <w:p w14:paraId="0CB745DE"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Linéarité de la narration (cheminement du personnage qui semble avancer de page en page)</w:t>
            </w:r>
          </w:p>
        </w:tc>
      </w:tr>
      <w:tr w:rsidR="00723872" w:rsidRPr="00723872" w14:paraId="6F8AC968" w14:textId="77777777" w:rsidTr="005A19CF">
        <w:tc>
          <w:tcPr>
            <w:tcW w:w="1790" w:type="dxa"/>
            <w:vAlign w:val="center"/>
          </w:tcPr>
          <w:p w14:paraId="159B3D92" w14:textId="77777777" w:rsidR="00723872" w:rsidRPr="00723872" w:rsidRDefault="00723872" w:rsidP="005A19CF">
            <w:pPr>
              <w:jc w:val="both"/>
              <w:rPr>
                <w:rFonts w:ascii="Candara Light" w:hAnsi="Candara Light"/>
              </w:rPr>
            </w:pPr>
            <w:r w:rsidRPr="00723872">
              <w:rPr>
                <w:rFonts w:ascii="Candara Light" w:hAnsi="Candara Light"/>
              </w:rPr>
              <w:t>Intérêts langagiers</w:t>
            </w:r>
          </w:p>
        </w:tc>
        <w:tc>
          <w:tcPr>
            <w:tcW w:w="8666" w:type="dxa"/>
            <w:gridSpan w:val="2"/>
            <w:vAlign w:val="center"/>
          </w:tcPr>
          <w:p w14:paraId="7F95D018"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Intérêt lexical : sens propre et sens figuré.  </w:t>
            </w:r>
          </w:p>
          <w:p w14:paraId="315D228E"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Enrichissement lexical autour des termes « encombrant », « se débrouiller », « qualités », « points forts », « se cacher », mais aussi du lexique des émotions et des relations : frustration, honte, peur, empathie, sollicitude, exclusion, inclusion. </w:t>
            </w:r>
          </w:p>
          <w:p w14:paraId="5D03628C"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Mobilisation des connecteurs pour argumenter (« pourtant », « au début », « à la fin », « parce que », « même si ») et des formules de justification (« je pense que… car l’image montre… ») – intérêt syntaxique (en vue du débat) </w:t>
            </w:r>
          </w:p>
          <w:p w14:paraId="65E88134"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Nombreux débats possibles en EMC, débat littéraire interprétatif</w:t>
            </w:r>
          </w:p>
          <w:p w14:paraId="23B19AC2"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Écrits de la réception possibles : « ma casserole, c’est… »</w:t>
            </w:r>
          </w:p>
        </w:tc>
      </w:tr>
      <w:tr w:rsidR="00723872" w:rsidRPr="00723872" w14:paraId="6416A75F" w14:textId="77777777" w:rsidTr="005A19CF">
        <w:tc>
          <w:tcPr>
            <w:tcW w:w="1790" w:type="dxa"/>
            <w:vAlign w:val="center"/>
          </w:tcPr>
          <w:p w14:paraId="3A5D9F2E" w14:textId="77777777" w:rsidR="00723872" w:rsidRPr="00723872" w:rsidRDefault="00723872" w:rsidP="005A19CF">
            <w:pPr>
              <w:jc w:val="both"/>
              <w:rPr>
                <w:rFonts w:ascii="Candara Light" w:hAnsi="Candara Light"/>
              </w:rPr>
            </w:pPr>
            <w:r w:rsidRPr="00723872">
              <w:rPr>
                <w:rFonts w:ascii="Candara Light" w:hAnsi="Candara Light"/>
              </w:rPr>
              <w:lastRenderedPageBreak/>
              <w:t>Intérêts dans une autre discipline</w:t>
            </w:r>
          </w:p>
        </w:tc>
        <w:tc>
          <w:tcPr>
            <w:tcW w:w="8666" w:type="dxa"/>
            <w:gridSpan w:val="2"/>
            <w:vAlign w:val="center"/>
          </w:tcPr>
          <w:p w14:paraId="34B0800D"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L’histoire ouvre une réflexion sur les différences entre personnes, l’exclusion et les conditions d’une inclusion effective : le récit sert de point d’appui pour examiner des situations scolaires, distinguer moquerie, indifférence, aide maladroite et solidarité, et envisager des comportements concrets favorisant la participation de tous.</w:t>
            </w:r>
          </w:p>
          <w:p w14:paraId="722D527A"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 xml:space="preserve">Il peut donner lieu en arts plastiques à la réalisation d’un livret autour des expressions prises au pied de la lettre : expressions figurées illustrées par des images qui portent un sens propre (Voir album de Le </w:t>
            </w:r>
            <w:proofErr w:type="spellStart"/>
            <w:r w:rsidRPr="00723872">
              <w:rPr>
                <w:rFonts w:ascii="Candara Light" w:hAnsi="Candara Light"/>
              </w:rPr>
              <w:t>Saux</w:t>
            </w:r>
            <w:proofErr w:type="spellEnd"/>
            <w:r w:rsidRPr="00723872">
              <w:rPr>
                <w:rFonts w:ascii="Candara Light" w:hAnsi="Candara Light"/>
              </w:rPr>
              <w:t>)</w:t>
            </w:r>
          </w:p>
          <w:p w14:paraId="4FC217C4" w14:textId="77777777" w:rsidR="00723872" w:rsidRPr="00723872" w:rsidRDefault="00723872" w:rsidP="00723872">
            <w:pPr>
              <w:pStyle w:val="Paragraphedeliste"/>
              <w:numPr>
                <w:ilvl w:val="0"/>
                <w:numId w:val="1"/>
              </w:numPr>
              <w:spacing w:after="60"/>
              <w:rPr>
                <w:rFonts w:ascii="Candara Light" w:hAnsi="Candara Light"/>
              </w:rPr>
            </w:pPr>
            <w:r w:rsidRPr="00723872">
              <w:rPr>
                <w:rFonts w:ascii="Candara Light" w:hAnsi="Candara Light"/>
              </w:rPr>
              <w:t>En PES, courir avec des contraintes, adapter un parcours : adapter son trajet et proposer au moins un aménagement du parcours pour permettre à des élèves ayant des possibilités de déplacement différentes de participer.</w:t>
            </w:r>
          </w:p>
        </w:tc>
      </w:tr>
      <w:tr w:rsidR="00723872" w:rsidRPr="00723872" w14:paraId="4A408C21" w14:textId="77777777" w:rsidTr="005A19CF">
        <w:tc>
          <w:tcPr>
            <w:tcW w:w="1790" w:type="dxa"/>
            <w:vAlign w:val="center"/>
          </w:tcPr>
          <w:p w14:paraId="541FDA4D" w14:textId="77777777" w:rsidR="00723872" w:rsidRPr="00723872" w:rsidRDefault="00723872" w:rsidP="005A19CF">
            <w:pPr>
              <w:jc w:val="both"/>
              <w:rPr>
                <w:rFonts w:ascii="Candara Light" w:hAnsi="Candara Light"/>
              </w:rPr>
            </w:pPr>
            <w:r w:rsidRPr="00723872">
              <w:rPr>
                <w:rFonts w:ascii="Candara Light" w:hAnsi="Candara Light"/>
              </w:rPr>
              <w:t xml:space="preserve">Obstacles envisagés qui pourraient servir de levier à l’exploitation de l’album </w:t>
            </w:r>
          </w:p>
        </w:tc>
        <w:tc>
          <w:tcPr>
            <w:tcW w:w="8666" w:type="dxa"/>
            <w:gridSpan w:val="2"/>
            <w:vAlign w:val="center"/>
          </w:tcPr>
          <w:p w14:paraId="6506A04D" w14:textId="77777777" w:rsidR="00723872" w:rsidRPr="00723872" w:rsidRDefault="00723872" w:rsidP="005A19CF">
            <w:pPr>
              <w:spacing w:after="60"/>
              <w:rPr>
                <w:rFonts w:ascii="Candara Light" w:hAnsi="Candara Light"/>
              </w:rPr>
            </w:pPr>
            <w:r w:rsidRPr="00723872">
              <w:rPr>
                <w:rFonts w:ascii="Candara Light" w:hAnsi="Candara Light"/>
              </w:rPr>
              <w:t>Certains élèves risquent de ne lire que les mésaventures d’un objet réel ; d’autres diront qu’Anatole est « guéri » parce qu’il devient joyeux. Une lecture guidée d’images contrastées et de la dernière double page permettra de vérifier que la casserole est toujours présente. Autre obstacle : attribuer tous les problèmes à Anatole plutôt qu’aux réactions des autres et aux situations rencontrées. Les échanges étayés inviteront à distinguer changement personnel et transformation de l’environnement.</w:t>
            </w:r>
          </w:p>
        </w:tc>
      </w:tr>
    </w:tbl>
    <w:p w14:paraId="294CA5E2" w14:textId="77777777" w:rsidR="00723872" w:rsidRPr="00723872" w:rsidRDefault="00723872" w:rsidP="00723872">
      <w:pPr>
        <w:rPr>
          <w:rFonts w:ascii="Candara Light" w:hAnsi="Candara Light"/>
        </w:rPr>
      </w:pPr>
    </w:p>
    <w:p w14:paraId="7C84850C" w14:textId="77777777" w:rsidR="00723872" w:rsidRPr="00723872" w:rsidRDefault="00723872" w:rsidP="00723872">
      <w:pPr>
        <w:rPr>
          <w:rFonts w:ascii="Candara Light" w:hAnsi="Candara Light"/>
        </w:rPr>
      </w:pPr>
    </w:p>
    <w:tbl>
      <w:tblPr>
        <w:tblStyle w:val="Grilledutableau"/>
        <w:tblW w:w="0" w:type="auto"/>
        <w:tblLook w:val="04A0" w:firstRow="1" w:lastRow="0" w:firstColumn="1" w:lastColumn="0" w:noHBand="0" w:noVBand="1"/>
      </w:tblPr>
      <w:tblGrid>
        <w:gridCol w:w="4871"/>
        <w:gridCol w:w="5097"/>
      </w:tblGrid>
      <w:tr w:rsidR="00723872" w:rsidRPr="00723872" w14:paraId="75C5FD8A" w14:textId="77777777" w:rsidTr="005A19CF">
        <w:tc>
          <w:tcPr>
            <w:tcW w:w="10456" w:type="dxa"/>
            <w:gridSpan w:val="2"/>
            <w:vAlign w:val="center"/>
          </w:tcPr>
          <w:p w14:paraId="02F1152C" w14:textId="77777777" w:rsidR="00723872" w:rsidRPr="00723872" w:rsidRDefault="00723872" w:rsidP="005A19CF">
            <w:pPr>
              <w:rPr>
                <w:rFonts w:ascii="Candara Light" w:hAnsi="Candara Light"/>
                <w:b/>
                <w:bCs/>
                <w:sz w:val="28"/>
                <w:szCs w:val="28"/>
              </w:rPr>
            </w:pPr>
            <w:r w:rsidRPr="00723872">
              <w:rPr>
                <w:rFonts w:ascii="Candara Light" w:hAnsi="Candara Light" w:cstheme="majorHAnsi"/>
                <w:b/>
                <w:bCs/>
                <w:szCs w:val="28"/>
              </w:rPr>
              <w:t>A. Exploitation en français</w:t>
            </w:r>
          </w:p>
        </w:tc>
      </w:tr>
      <w:tr w:rsidR="00723872" w:rsidRPr="00723872" w14:paraId="2475D04E" w14:textId="77777777" w:rsidTr="005A19CF">
        <w:tc>
          <w:tcPr>
            <w:tcW w:w="5098" w:type="dxa"/>
            <w:vAlign w:val="center"/>
          </w:tcPr>
          <w:p w14:paraId="479C9F0E" w14:textId="77777777" w:rsidR="00723872" w:rsidRPr="00723872" w:rsidRDefault="00723872" w:rsidP="005A19CF">
            <w:pPr>
              <w:jc w:val="both"/>
              <w:rPr>
                <w:rFonts w:ascii="Candara Light" w:hAnsi="Candara Light"/>
              </w:rPr>
            </w:pPr>
            <w:r w:rsidRPr="00723872">
              <w:rPr>
                <w:rFonts w:ascii="Candara Light" w:hAnsi="Candara Light"/>
              </w:rPr>
              <w:t xml:space="preserve">Titre d’une séquence possible </w:t>
            </w:r>
          </w:p>
        </w:tc>
        <w:tc>
          <w:tcPr>
            <w:tcW w:w="5358" w:type="dxa"/>
            <w:vAlign w:val="center"/>
          </w:tcPr>
          <w:p w14:paraId="5E8EB9AB" w14:textId="5172F173" w:rsidR="00723872" w:rsidRPr="00723872" w:rsidRDefault="00723872" w:rsidP="005A19CF">
            <w:pPr>
              <w:spacing w:after="60"/>
              <w:rPr>
                <w:rFonts w:ascii="Candara Light" w:hAnsi="Candara Light"/>
              </w:rPr>
            </w:pPr>
            <w:r w:rsidRPr="00723872">
              <w:rPr>
                <w:rFonts w:ascii="Candara Light" w:hAnsi="Candara Light"/>
              </w:rPr>
              <w:t>Comprendre et interpréter l’évolution d’un personnage dans un album : « Anatole a-t-il changé ? » (CE</w:t>
            </w:r>
            <w:r w:rsidR="00C13DF2">
              <w:rPr>
                <w:rFonts w:ascii="Candara Light" w:hAnsi="Candara Light"/>
              </w:rPr>
              <w:t>1</w:t>
            </w:r>
            <w:r w:rsidRPr="00723872">
              <w:rPr>
                <w:rFonts w:ascii="Candara Light" w:hAnsi="Candara Light"/>
              </w:rPr>
              <w:t>).</w:t>
            </w:r>
          </w:p>
        </w:tc>
      </w:tr>
      <w:tr w:rsidR="00723872" w:rsidRPr="00723872" w14:paraId="759340A2" w14:textId="77777777" w:rsidTr="005A19CF">
        <w:tc>
          <w:tcPr>
            <w:tcW w:w="5098" w:type="dxa"/>
            <w:vAlign w:val="center"/>
          </w:tcPr>
          <w:p w14:paraId="56C50B7D" w14:textId="666C6C56" w:rsidR="00723872" w:rsidRPr="00723872" w:rsidRDefault="00723872" w:rsidP="005A19CF">
            <w:pPr>
              <w:spacing w:after="60"/>
              <w:rPr>
                <w:rFonts w:ascii="Candara Light" w:hAnsi="Candara Light"/>
              </w:rPr>
            </w:pPr>
            <w:r w:rsidRPr="00723872">
              <w:rPr>
                <w:rFonts w:ascii="Candara Light" w:hAnsi="Candara Light"/>
              </w:rPr>
              <w:t xml:space="preserve">Objectif principal : à l’issue du débat, chaque élève sera capable de répondre à la question </w:t>
            </w:r>
            <w:r>
              <w:rPr>
                <w:rFonts w:ascii="Candara Light" w:hAnsi="Candara Light"/>
              </w:rPr>
              <w:t>« </w:t>
            </w:r>
            <w:r w:rsidRPr="00723872">
              <w:rPr>
                <w:rFonts w:ascii="Candara Light" w:hAnsi="Candara Light"/>
              </w:rPr>
              <w:t>Anatole a-t-il changé ? » en formulant une position nuancée et en la justifiant par au moins deux indices précis tirés du début et de la fin de l’album.</w:t>
            </w:r>
            <w:r w:rsidRPr="00723872">
              <w:rPr>
                <w:rFonts w:ascii="Candara Light" w:hAnsi="Candara Light"/>
              </w:rPr>
              <w:br/>
            </w:r>
            <w:r w:rsidRPr="00723872">
              <w:rPr>
                <w:rFonts w:ascii="Candara Light" w:hAnsi="Candara Light"/>
              </w:rPr>
              <w:br/>
              <w:t>Objectifs secondaires : comprendre la permanence de la casserole et sa valeur métaphorique ; confronter des interprétations ; réviser son point de vue grâce à des éléments apportés par les pairs ; utiliser des connecteurs d’opposition et de justification.</w:t>
            </w:r>
            <w:r w:rsidRPr="00723872">
              <w:rPr>
                <w:rFonts w:ascii="Candara Light" w:hAnsi="Candara Light"/>
              </w:rPr>
              <w:br/>
            </w:r>
            <w:r w:rsidRPr="00723872">
              <w:rPr>
                <w:rFonts w:ascii="Candara Light" w:hAnsi="Candara Light"/>
              </w:rPr>
              <w:br/>
              <w:t>Programmes, cycle 2 : compréhension de textes littéraires, interprétation fondée sur des indices textuels et iconographiques, échanges oraux avec justification des points de vue, acquisition du lexique nécessaire à l’interprétation.</w:t>
            </w:r>
          </w:p>
        </w:tc>
        <w:tc>
          <w:tcPr>
            <w:tcW w:w="5358" w:type="dxa"/>
            <w:vAlign w:val="center"/>
          </w:tcPr>
          <w:p w14:paraId="60569B5E" w14:textId="77777777" w:rsidR="00723872" w:rsidRPr="00723872" w:rsidRDefault="00723872" w:rsidP="005A19CF">
            <w:pPr>
              <w:spacing w:after="60"/>
              <w:rPr>
                <w:rFonts w:ascii="Candara Light" w:hAnsi="Candara Light"/>
              </w:rPr>
            </w:pPr>
            <w:r w:rsidRPr="00723872">
              <w:rPr>
                <w:rFonts w:ascii="Candara Light" w:hAnsi="Candara Light"/>
              </w:rPr>
              <w:t xml:space="preserve">Justification didactique : la fin du récit, notamment l'affirmation « Anatole est toujours le même », ouvre un véritable débat interprétatif. La séance permet de travailler l'implicite, l'évolution du personnage, la métaphore et les relations texte-image. Elle favorise également l'empathie en invitant les élèves à comprendre le point de vue d'Anatole, sans réduire la lecture à un débat moral. Elle peut donner lieu à des écrits de la réception (chaque élève peut donner son avis).   </w:t>
            </w:r>
          </w:p>
        </w:tc>
      </w:tr>
      <w:tr w:rsidR="00723872" w:rsidRPr="00723872" w14:paraId="3A590301" w14:textId="77777777" w:rsidTr="005A19CF">
        <w:tc>
          <w:tcPr>
            <w:tcW w:w="5098" w:type="dxa"/>
            <w:vAlign w:val="center"/>
          </w:tcPr>
          <w:p w14:paraId="2D237EBD" w14:textId="77777777" w:rsidR="00723872" w:rsidRPr="00723872" w:rsidRDefault="00723872" w:rsidP="005A19CF">
            <w:pPr>
              <w:jc w:val="both"/>
              <w:rPr>
                <w:rFonts w:ascii="Candara Light" w:hAnsi="Candara Light"/>
              </w:rPr>
            </w:pPr>
            <w:r w:rsidRPr="00723872">
              <w:rPr>
                <w:rFonts w:ascii="Candara Light" w:hAnsi="Candara Light" w:cstheme="majorHAnsi"/>
                <w:b/>
                <w:bCs/>
                <w:szCs w:val="28"/>
              </w:rPr>
              <w:t xml:space="preserve">B. Exploitation dans une autre discipline </w:t>
            </w:r>
          </w:p>
        </w:tc>
        <w:tc>
          <w:tcPr>
            <w:tcW w:w="5358" w:type="dxa"/>
            <w:vAlign w:val="center"/>
          </w:tcPr>
          <w:p w14:paraId="45C1E41D" w14:textId="77777777" w:rsidR="00723872" w:rsidRPr="00723872" w:rsidRDefault="00723872" w:rsidP="005A19CF">
            <w:pPr>
              <w:rPr>
                <w:rFonts w:ascii="Candara Light" w:hAnsi="Candara Light"/>
              </w:rPr>
            </w:pPr>
          </w:p>
        </w:tc>
      </w:tr>
      <w:tr w:rsidR="00723872" w:rsidRPr="00723872" w14:paraId="339B425A" w14:textId="77777777" w:rsidTr="005A19CF">
        <w:tc>
          <w:tcPr>
            <w:tcW w:w="5098" w:type="dxa"/>
            <w:vAlign w:val="center"/>
          </w:tcPr>
          <w:p w14:paraId="03D5085F" w14:textId="77777777" w:rsidR="00723872" w:rsidRPr="00723872" w:rsidRDefault="00723872" w:rsidP="005A19CF">
            <w:pPr>
              <w:spacing w:after="60"/>
              <w:rPr>
                <w:rFonts w:ascii="Candara Light" w:hAnsi="Candara Light"/>
              </w:rPr>
            </w:pPr>
            <w:r w:rsidRPr="00723872">
              <w:rPr>
                <w:rFonts w:ascii="Candara Light" w:hAnsi="Candara Light"/>
              </w:rPr>
              <w:t xml:space="preserve">Objectif principal : à partir d’une situation de vie scolaire fictive, chaque élève sera capable de distinguer un comportement excluant d’un comportement inclusif et de justifier deux actions réalisables pour permettre à un </w:t>
            </w:r>
            <w:r w:rsidRPr="00723872">
              <w:rPr>
                <w:rFonts w:ascii="Candara Light" w:hAnsi="Candara Light"/>
              </w:rPr>
              <w:lastRenderedPageBreak/>
              <w:t>camarade de participer, sans agir à sa place.</w:t>
            </w:r>
            <w:r w:rsidRPr="00723872">
              <w:rPr>
                <w:rFonts w:ascii="Candara Light" w:hAnsi="Candara Light"/>
              </w:rPr>
              <w:br/>
            </w:r>
            <w:r w:rsidRPr="00723872">
              <w:rPr>
                <w:rFonts w:ascii="Candara Light" w:hAnsi="Candara Light"/>
              </w:rPr>
              <w:br/>
              <w:t>Objectifs secondaires : comprendre que la différence n’autorise ni moquerie ni mise à l’écart ; identifier des obstacles qui ne dépendent pas uniquement de l’élève concerné ; pratiquer l’écoute et la recherche coopérative de solutions.</w:t>
            </w:r>
            <w:r w:rsidRPr="00723872">
              <w:rPr>
                <w:rFonts w:ascii="Candara Light" w:hAnsi="Candara Light"/>
              </w:rPr>
              <w:br/>
            </w:r>
            <w:r w:rsidRPr="00723872">
              <w:rPr>
                <w:rFonts w:ascii="Candara Light" w:hAnsi="Candara Light"/>
              </w:rPr>
              <w:br/>
              <w:t>Programmes, cycle 2 : respecter autrui, reconnaitre les situations d’exclusion, prendre en compte les besoins des personnes, coopérer et proposer des comportements responsables dans le collectif scolaire.</w:t>
            </w:r>
          </w:p>
        </w:tc>
        <w:tc>
          <w:tcPr>
            <w:tcW w:w="5358" w:type="dxa"/>
            <w:vAlign w:val="center"/>
          </w:tcPr>
          <w:p w14:paraId="1EAED12C" w14:textId="77777777" w:rsidR="00723872" w:rsidRPr="00723872" w:rsidRDefault="00723872" w:rsidP="005A19CF">
            <w:pPr>
              <w:spacing w:after="60"/>
              <w:rPr>
                <w:rFonts w:ascii="Candara Light" w:hAnsi="Candara Light"/>
              </w:rPr>
            </w:pPr>
            <w:r w:rsidRPr="00723872">
              <w:rPr>
                <w:rFonts w:ascii="Candara Light" w:hAnsi="Candara Light"/>
              </w:rPr>
              <w:lastRenderedPageBreak/>
              <w:t xml:space="preserve">Justification didactique : l'album sert de point de départ à une réflexion civique sur le respect des différences, les mécanismes d'exclusion et les conditions de l'inclusion. La séance amène les élèves à débattre pour dépasser la simple </w:t>
            </w:r>
            <w:r w:rsidRPr="00723872">
              <w:rPr>
                <w:rFonts w:ascii="Candara Light" w:hAnsi="Candara Light"/>
              </w:rPr>
              <w:lastRenderedPageBreak/>
              <w:t xml:space="preserve">injonction à la bienveillance pour identifier et justifier des actions concrètes favorisant la participation de tous, dans le respect de leur autonomie. Pour débattre, les élèves peuvent avoir besoin </w:t>
            </w:r>
            <w:proofErr w:type="gramStart"/>
            <w:r w:rsidRPr="00723872">
              <w:rPr>
                <w:rFonts w:ascii="Candara Light" w:hAnsi="Candara Light"/>
              </w:rPr>
              <w:t>de faire</w:t>
            </w:r>
            <w:proofErr w:type="gramEnd"/>
            <w:r w:rsidRPr="00723872">
              <w:rPr>
                <w:rFonts w:ascii="Candara Light" w:hAnsi="Candara Light"/>
              </w:rPr>
              <w:t xml:space="preserve"> des recherche documentaires (définition du handicap).</w:t>
            </w:r>
          </w:p>
        </w:tc>
      </w:tr>
      <w:tr w:rsidR="00723872" w:rsidRPr="00723872" w14:paraId="60ECE0AB" w14:textId="77777777" w:rsidTr="005A19CF">
        <w:tc>
          <w:tcPr>
            <w:tcW w:w="5098" w:type="dxa"/>
            <w:vAlign w:val="center"/>
          </w:tcPr>
          <w:p w14:paraId="664D4777" w14:textId="77777777" w:rsidR="00723872" w:rsidRPr="00723872" w:rsidRDefault="00723872" w:rsidP="005A19CF">
            <w:pPr>
              <w:jc w:val="both"/>
              <w:rPr>
                <w:rFonts w:ascii="Candara Light" w:hAnsi="Candara Light"/>
                <w:b/>
                <w:bCs/>
              </w:rPr>
            </w:pPr>
            <w:r w:rsidRPr="00723872">
              <w:rPr>
                <w:rFonts w:ascii="Candara Light" w:hAnsi="Candara Light"/>
                <w:b/>
                <w:bCs/>
              </w:rPr>
              <w:lastRenderedPageBreak/>
              <w:t>Question subsidiaire</w:t>
            </w:r>
          </w:p>
        </w:tc>
        <w:tc>
          <w:tcPr>
            <w:tcW w:w="5358" w:type="dxa"/>
            <w:vAlign w:val="center"/>
          </w:tcPr>
          <w:p w14:paraId="3DBB9917" w14:textId="77777777" w:rsidR="00723872" w:rsidRPr="00723872" w:rsidRDefault="00723872" w:rsidP="005A19CF">
            <w:pPr>
              <w:rPr>
                <w:rFonts w:ascii="Candara Light" w:hAnsi="Candara Light"/>
              </w:rPr>
            </w:pPr>
          </w:p>
        </w:tc>
      </w:tr>
      <w:tr w:rsidR="00723872" w:rsidRPr="00723872" w14:paraId="4C7461E6" w14:textId="77777777" w:rsidTr="005A19CF">
        <w:tc>
          <w:tcPr>
            <w:tcW w:w="10456" w:type="dxa"/>
            <w:gridSpan w:val="2"/>
            <w:vAlign w:val="center"/>
          </w:tcPr>
          <w:p w14:paraId="7A73EDBD" w14:textId="1250EF45" w:rsidR="00723872" w:rsidRPr="00723872" w:rsidRDefault="00723872" w:rsidP="005A19CF">
            <w:pPr>
              <w:spacing w:after="60"/>
              <w:rPr>
                <w:rFonts w:ascii="Candara Light" w:hAnsi="Candara Light"/>
              </w:rPr>
            </w:pPr>
            <w:r w:rsidRPr="00723872">
              <w:rPr>
                <w:rFonts w:ascii="Candara Light" w:hAnsi="Candara Light"/>
              </w:rPr>
              <w:t xml:space="preserve">Oui, en </w:t>
            </w:r>
            <w:r w:rsidR="00D166EF">
              <w:rPr>
                <w:rFonts w:ascii="Candara Light" w:hAnsi="Candara Light"/>
              </w:rPr>
              <w:t>cycle 2</w:t>
            </w:r>
            <w:r w:rsidRPr="00723872">
              <w:rPr>
                <w:rFonts w:ascii="Candara Light" w:hAnsi="Candara Light"/>
              </w:rPr>
              <w:t>, car son dispositif narratif sobre permet d’articuler compréhension fine, sens figuré, discussion interprétative et réflexion civique. Il faut néanmoins éviter une lecture moralisante ou une association automatique entre casserole et handicap : plusieurs interprétations peuvent être accueillies si elles sont justifiées. Le travail littéraire doit conserver son autonomie par rapport au prolongement en EMC.</w:t>
            </w:r>
          </w:p>
        </w:tc>
      </w:tr>
      <w:tr w:rsidR="00723872" w:rsidRPr="00723872" w14:paraId="31C627BB" w14:textId="77777777" w:rsidTr="005A19CF">
        <w:tc>
          <w:tcPr>
            <w:tcW w:w="5098" w:type="dxa"/>
            <w:vAlign w:val="center"/>
          </w:tcPr>
          <w:p w14:paraId="27DC804F" w14:textId="77777777" w:rsidR="00723872" w:rsidRPr="00723872" w:rsidRDefault="00723872" w:rsidP="005A19CF">
            <w:pPr>
              <w:jc w:val="both"/>
              <w:rPr>
                <w:rFonts w:ascii="Candara Light" w:hAnsi="Candara Light"/>
                <w:b/>
                <w:bCs/>
              </w:rPr>
            </w:pPr>
            <w:r w:rsidRPr="00723872">
              <w:rPr>
                <w:rFonts w:ascii="Candara Light" w:hAnsi="Candara Light"/>
                <w:b/>
                <w:bCs/>
              </w:rPr>
              <w:t xml:space="preserve">ANNEXES  </w:t>
            </w:r>
          </w:p>
        </w:tc>
        <w:tc>
          <w:tcPr>
            <w:tcW w:w="5358" w:type="dxa"/>
            <w:vAlign w:val="center"/>
          </w:tcPr>
          <w:p w14:paraId="513322AD" w14:textId="77777777" w:rsidR="00723872" w:rsidRPr="00723872" w:rsidRDefault="00723872" w:rsidP="005A19CF">
            <w:pPr>
              <w:spacing w:after="60"/>
              <w:rPr>
                <w:rFonts w:ascii="Candara Light" w:hAnsi="Candara Light"/>
              </w:rPr>
            </w:pPr>
            <w:r w:rsidRPr="00723872">
              <w:rPr>
                <w:rFonts w:ascii="Candara Light" w:hAnsi="Candara Light"/>
              </w:rPr>
              <w:t>Deux fiches de préparation simplifiées en annexe : français et EMC. Support : album fourni, Isabelle Carrier, 2009.</w:t>
            </w:r>
          </w:p>
        </w:tc>
      </w:tr>
    </w:tbl>
    <w:p w14:paraId="19EF0575" w14:textId="77777777" w:rsidR="00723872" w:rsidRPr="00723872" w:rsidRDefault="00723872" w:rsidP="00723872">
      <w:pPr>
        <w:rPr>
          <w:rFonts w:ascii="Candara Light" w:hAnsi="Candara Light"/>
        </w:rPr>
      </w:pPr>
    </w:p>
    <w:p w14:paraId="01B108CA" w14:textId="77777777" w:rsidR="00723872" w:rsidRPr="00723872" w:rsidRDefault="00723872" w:rsidP="00723872">
      <w:pPr>
        <w:pStyle w:val="Titre2"/>
        <w:rPr>
          <w:rFonts w:ascii="Candara Light" w:hAnsi="Candara Light"/>
        </w:rPr>
      </w:pPr>
      <w:r w:rsidRPr="00723872">
        <w:rPr>
          <w:rFonts w:ascii="Candara Light" w:hAnsi="Candara Light"/>
        </w:rPr>
        <w:t>ANNEXE 1 — FICHE DE PRÉPARATION « LIGHT » EN FRANÇAIS</w:t>
      </w:r>
    </w:p>
    <w:p w14:paraId="7FAAD218" w14:textId="77777777" w:rsidR="00723872" w:rsidRPr="00723872" w:rsidRDefault="00723872" w:rsidP="00723872">
      <w:pPr>
        <w:rPr>
          <w:rFonts w:ascii="Candara Light" w:hAnsi="Candara Light"/>
        </w:rPr>
      </w:pPr>
      <w:r w:rsidRPr="00723872">
        <w:rPr>
          <w:rFonts w:ascii="Candara Light" w:hAnsi="Candara Light"/>
        </w:rPr>
        <w:t>Niveau : CE1 | Durée : 50 minutes | Support : La petite casserole d’Anatole, pages contrastées du début et de la fin.</w:t>
      </w:r>
    </w:p>
    <w:p w14:paraId="574AE312" w14:textId="77777777" w:rsidR="00723872" w:rsidRPr="00723872" w:rsidRDefault="00723872" w:rsidP="00723872">
      <w:pPr>
        <w:rPr>
          <w:rFonts w:ascii="Candara Light" w:hAnsi="Candara Light"/>
        </w:rPr>
      </w:pPr>
      <w:r w:rsidRPr="00723872">
        <w:rPr>
          <w:rFonts w:ascii="Candara Light" w:hAnsi="Candara Light"/>
        </w:rPr>
        <w:t>Objectif évaluable : formuler une interprétation argumentée de l’évolution d’Anatole, avec au moins deux indices textuels ou iconographiques.</w:t>
      </w:r>
    </w:p>
    <w:p w14:paraId="6EF62026" w14:textId="32661342" w:rsidR="00723872" w:rsidRPr="00723872" w:rsidRDefault="00723872" w:rsidP="00723872">
      <w:pPr>
        <w:rPr>
          <w:rFonts w:ascii="Candara Light" w:hAnsi="Candara Light"/>
        </w:rPr>
      </w:pPr>
      <w:r w:rsidRPr="00723872">
        <w:rPr>
          <w:rFonts w:ascii="Candara Light" w:hAnsi="Candara Light"/>
        </w:rPr>
        <w:t>Différenciation : banque d’images avec repères de pages ; amorces « Je pense… car… », « Cependant…</w:t>
      </w:r>
      <w:r w:rsidR="00D166EF">
        <w:rPr>
          <w:rFonts w:ascii="Candara Light" w:hAnsi="Candara Light"/>
        </w:rPr>
        <w:t> »</w:t>
      </w:r>
      <w:r w:rsidRPr="00723872">
        <w:rPr>
          <w:rFonts w:ascii="Candara Light" w:hAnsi="Candara Light"/>
        </w:rPr>
        <w:t xml:space="preserve"> ; possibilité de dicter sa justification à un pair. Pour aller plus loin : discuter de la formule finale « Anatole est toujours le même ».</w:t>
      </w:r>
    </w:p>
    <w:p w14:paraId="6979A732" w14:textId="77777777" w:rsidR="00723872" w:rsidRPr="00723872" w:rsidRDefault="00723872" w:rsidP="00723872">
      <w:pPr>
        <w:rPr>
          <w:rFonts w:ascii="Candara Light" w:hAnsi="Candara Light"/>
        </w:rPr>
      </w:pPr>
      <w:r w:rsidRPr="00723872">
        <w:rPr>
          <w:rFonts w:ascii="Candara Light" w:hAnsi="Candara Light"/>
        </w:rPr>
        <w:t>Phase / durée — Consignes, activité et rôle du professeur</w:t>
      </w:r>
    </w:p>
    <w:p w14:paraId="34FBD93D" w14:textId="77777777" w:rsidR="00723872" w:rsidRPr="00723872" w:rsidRDefault="00723872" w:rsidP="00723872">
      <w:pPr>
        <w:rPr>
          <w:rFonts w:ascii="Candara Light" w:hAnsi="Candara Light"/>
        </w:rPr>
      </w:pPr>
      <w:r w:rsidRPr="00723872">
        <w:rPr>
          <w:rFonts w:ascii="Candara Light" w:hAnsi="Candara Light"/>
          <w:b/>
          <w:bCs/>
        </w:rPr>
        <w:t>1. Enrôlement — 8 min.</w:t>
      </w:r>
      <w:r w:rsidRPr="00723872">
        <w:rPr>
          <w:rFonts w:ascii="Candara Light" w:hAnsi="Candara Light"/>
        </w:rPr>
        <w:t xml:space="preserve"> Après une lecture intégrale antérieure, l’enseignant présente deux illustrations éloignées : Anatole isolé, puis Anatole participant au jeu collectif. Les élèves notent individuellement sur une bandelette de papier une première réponse à la question « Anatole a-t-il changé ? », suivie d’une justification rapide possible. </w:t>
      </w:r>
    </w:p>
    <w:p w14:paraId="3CC9B853" w14:textId="77777777" w:rsidR="00723872" w:rsidRPr="00723872" w:rsidRDefault="00723872" w:rsidP="00723872">
      <w:pPr>
        <w:rPr>
          <w:rFonts w:ascii="Candara Light" w:hAnsi="Candara Light"/>
        </w:rPr>
      </w:pPr>
      <w:r w:rsidRPr="00723872">
        <w:rPr>
          <w:rFonts w:ascii="Candara Light" w:hAnsi="Candara Light"/>
          <w:b/>
          <w:bCs/>
        </w:rPr>
        <w:t>2. Recherche et préparation du débat — 12 min.</w:t>
      </w:r>
      <w:r w:rsidRPr="00723872">
        <w:rPr>
          <w:rFonts w:ascii="Candara Light" w:hAnsi="Candara Light"/>
        </w:rPr>
        <w:t xml:space="preserve"> Par binômes, les élèves comparent plusieurs pages : celle où Anatole se cache, la rencontre avec l’adulte, la sacoche, l’échelle et la dernière scène. Ils remplissent un tableau à trois colonnes « Ce qui change / Ce qui ne change pas / Indices de l’album ». L’enseignant aide les élèves à distinguer faits observables (« la casserole est encore là »), inférences (« il a repris confiance ») et hypothèses sur le sens figuré. Il invite à considérer aussi la manière dont les autres regardent Anatole.</w:t>
      </w:r>
      <w:r w:rsidRPr="00723872">
        <w:rPr>
          <w:rFonts w:ascii="Candara Light" w:hAnsi="Candara Light"/>
        </w:rPr>
        <w:br/>
      </w:r>
      <w:r w:rsidRPr="00723872">
        <w:rPr>
          <w:rFonts w:ascii="Candara Light" w:hAnsi="Candara Light"/>
          <w:b/>
          <w:bCs/>
        </w:rPr>
        <w:t>3. Débat interprétatif réglé — 20 min.</w:t>
      </w:r>
      <w:r w:rsidRPr="00723872">
        <w:rPr>
          <w:rFonts w:ascii="Candara Light" w:hAnsi="Candara Light"/>
        </w:rPr>
        <w:t xml:space="preserve"> Question initiale : « Est-ce qu’à la fin Anatole est le même qu’au début ? » Les prises de parole doivent s’appuyer sur une page ou une image, écouter un avis différent et éventuellement le discuter : « Je ne suis pas d’accord parce que… », « Je complète avec… ». Relances : « La casserole a-t-elle disparu ? », « Qu’est-ce qui a changé dans ce qu’il peut faire ? », « Qui a changé de regard ? », « Quand le récit dit qu’Anatole est toujours le même, comment comprendre cette phrase ? » </w:t>
      </w:r>
      <w:r w:rsidRPr="00723872">
        <w:rPr>
          <w:rFonts w:ascii="Candara Light" w:hAnsi="Candara Light"/>
        </w:rPr>
        <w:lastRenderedPageBreak/>
        <w:t>Le professeur n’impose pas une morale et fait émerger la distinction entre identité, vécu et relations sociales.</w:t>
      </w:r>
      <w:r w:rsidRPr="00723872">
        <w:rPr>
          <w:rFonts w:ascii="Candara Light" w:hAnsi="Candara Light"/>
        </w:rPr>
        <w:br/>
      </w:r>
      <w:r w:rsidRPr="00723872">
        <w:rPr>
          <w:rFonts w:ascii="Candara Light" w:hAnsi="Candara Light"/>
          <w:b/>
          <w:bCs/>
        </w:rPr>
        <w:t>4. Institutionnalisation et évaluation — 10 min.</w:t>
      </w:r>
      <w:r w:rsidRPr="00723872">
        <w:rPr>
          <w:rFonts w:ascii="Candara Light" w:hAnsi="Candara Light"/>
        </w:rPr>
        <w:t xml:space="preserve"> Chaque élève reprend son avis initial et rédige trois ou quatre phrases : « Anatole a changé parce que… Pourtant… L’image de… le montre. » Une courte synthèse collective retient : « Anatole reste lui-même et garde sa casserole, mais il apprend à vivre avec elle. Le regard des autres et sa place parmi eux évoluent aussi. » L’enseignant vérifie le recours à deux indices et la cohérence de la justification ; une réponse différente reste recevable si elle est étayée.</w:t>
      </w:r>
    </w:p>
    <w:p w14:paraId="21B126B7" w14:textId="77777777" w:rsidR="00723872" w:rsidRPr="00723872" w:rsidRDefault="00723872" w:rsidP="00723872">
      <w:pPr>
        <w:rPr>
          <w:rFonts w:ascii="Candara Light" w:hAnsi="Candara Light"/>
        </w:rPr>
      </w:pPr>
    </w:p>
    <w:p w14:paraId="2426F6CD" w14:textId="77777777" w:rsidR="00723872" w:rsidRPr="00723872" w:rsidRDefault="00723872" w:rsidP="00723872">
      <w:pPr>
        <w:pStyle w:val="Titre2"/>
        <w:rPr>
          <w:rFonts w:ascii="Candara Light" w:hAnsi="Candara Light"/>
        </w:rPr>
      </w:pPr>
      <w:r w:rsidRPr="00723872">
        <w:rPr>
          <w:rFonts w:ascii="Candara Light" w:hAnsi="Candara Light"/>
        </w:rPr>
        <w:t>ANNEXE 2 — FICHE DE PRÉPARATION « LIGHT » EN EMC</w:t>
      </w:r>
    </w:p>
    <w:p w14:paraId="05D6D26B" w14:textId="5128ED19" w:rsidR="00723872" w:rsidRPr="00723872" w:rsidRDefault="00723872" w:rsidP="00723872">
      <w:pPr>
        <w:rPr>
          <w:rFonts w:ascii="Candara Light" w:hAnsi="Candara Light"/>
        </w:rPr>
      </w:pPr>
      <w:r w:rsidRPr="00723872">
        <w:rPr>
          <w:rFonts w:ascii="Candara Light" w:hAnsi="Candara Light"/>
        </w:rPr>
        <w:t>Niveau : CE</w:t>
      </w:r>
      <w:r w:rsidR="00D166EF">
        <w:rPr>
          <w:rFonts w:ascii="Candara Light" w:hAnsi="Candara Light"/>
        </w:rPr>
        <w:t>1</w:t>
      </w:r>
      <w:r w:rsidRPr="00723872">
        <w:rPr>
          <w:rFonts w:ascii="Candara Light" w:hAnsi="Candara Light"/>
        </w:rPr>
        <w:t xml:space="preserve"> | Durée : 50 minutes | Support : deux images de l’album et une vignette fictive de jeu collectif.</w:t>
      </w:r>
    </w:p>
    <w:p w14:paraId="1D531256" w14:textId="77777777" w:rsidR="00723872" w:rsidRPr="00723872" w:rsidRDefault="00723872" w:rsidP="00723872">
      <w:pPr>
        <w:rPr>
          <w:rFonts w:ascii="Candara Light" w:hAnsi="Candara Light"/>
        </w:rPr>
      </w:pPr>
      <w:r w:rsidRPr="00723872">
        <w:rPr>
          <w:rFonts w:ascii="Candara Light" w:hAnsi="Candara Light"/>
        </w:rPr>
        <w:t>Objectif évaluable : distinguer exclusion et inclusion et proposer deux actions justifiées qui permettent la participation d’un camarade.</w:t>
      </w:r>
    </w:p>
    <w:p w14:paraId="16F34151" w14:textId="77777777" w:rsidR="00723872" w:rsidRPr="00723872" w:rsidRDefault="00723872" w:rsidP="00723872">
      <w:pPr>
        <w:rPr>
          <w:rFonts w:ascii="Candara Light" w:hAnsi="Candara Light"/>
        </w:rPr>
      </w:pPr>
      <w:r w:rsidRPr="00723872">
        <w:rPr>
          <w:rFonts w:ascii="Candara Light" w:hAnsi="Candara Light"/>
        </w:rPr>
        <w:t>Différenciation : pictogrammes « exclure / inclure » ; cartes de solutions à classer ; expression orale préalable à l’écrit. Évaluation : réponse applicable, respectueuse et argumentée.</w:t>
      </w:r>
    </w:p>
    <w:p w14:paraId="3CCF03C8" w14:textId="77777777" w:rsidR="00723872" w:rsidRPr="00723872" w:rsidRDefault="00723872" w:rsidP="00723872">
      <w:pPr>
        <w:rPr>
          <w:rFonts w:ascii="Candara Light" w:hAnsi="Candara Light"/>
        </w:rPr>
      </w:pPr>
      <w:r w:rsidRPr="00723872">
        <w:rPr>
          <w:rFonts w:ascii="Candara Light" w:hAnsi="Candara Light"/>
        </w:rPr>
        <w:t>Phase / durée — Consignes, activité et rôle du professeur</w:t>
      </w:r>
    </w:p>
    <w:p w14:paraId="6CD0E765" w14:textId="77777777" w:rsidR="00723872" w:rsidRPr="00723872" w:rsidRDefault="00723872" w:rsidP="00723872">
      <w:pPr>
        <w:rPr>
          <w:rFonts w:ascii="Candara Light" w:hAnsi="Candara Light"/>
        </w:rPr>
      </w:pPr>
      <w:r w:rsidRPr="00723872">
        <w:rPr>
          <w:rFonts w:ascii="Candara Light" w:hAnsi="Candara Light"/>
          <w:b/>
          <w:bCs/>
        </w:rPr>
        <w:t>1. Enrôlement — 8 min.</w:t>
      </w:r>
      <w:r w:rsidRPr="00723872">
        <w:rPr>
          <w:rFonts w:ascii="Candara Light" w:hAnsi="Candara Light"/>
        </w:rPr>
        <w:t xml:space="preserve"> L’enseignant montre l’image où Anatole peine à suivre les autres, puis celle où il joue avec eux. Une question fait transition : « Qu’est-ce qui permet à une personne de participer avec les autres ? » Les élèves proposent des réponses ; l’enseignant distingue les faits tirés de l’album des exemples de vie scolaire. Il précise qu’on ne cherche pas à diagnostiquer Anatole ni à parler d’un élève réel. </w:t>
      </w:r>
    </w:p>
    <w:p w14:paraId="254A026F" w14:textId="77777777" w:rsidR="00723872" w:rsidRPr="00723872" w:rsidRDefault="00723872" w:rsidP="00723872">
      <w:pPr>
        <w:rPr>
          <w:rFonts w:ascii="Candara Light" w:hAnsi="Candara Light"/>
        </w:rPr>
      </w:pPr>
      <w:r w:rsidRPr="00723872">
        <w:rPr>
          <w:rFonts w:ascii="Candara Light" w:hAnsi="Candara Light"/>
          <w:b/>
          <w:bCs/>
        </w:rPr>
        <w:t>2. Étude de situation — 12 min.</w:t>
      </w:r>
      <w:r w:rsidRPr="00723872">
        <w:rPr>
          <w:rFonts w:ascii="Candara Light" w:hAnsi="Candara Light"/>
        </w:rPr>
        <w:t xml:space="preserve"> Une courte vignette fictive est distribuée : « Au cours d’un jeu de relais, Noa n réussit pas à suivre une consigne donnée trop vite. Certains élèves lui disent de regarder sans jouer. D’autres proposent de lui expliquer la règle et d’ajuster l’organisation du jeu. » Par groupes, les élèves repèrent : a) ce qui met Noa à l’écart ; b) les réactions des autres ; c) les possibilités d’action pour l’élève, les pairs et l’adulte. Une aide utile doit être proposée, non imposée. </w:t>
      </w:r>
    </w:p>
    <w:p w14:paraId="234C0FCD" w14:textId="77777777" w:rsidR="00723872" w:rsidRPr="00723872" w:rsidRDefault="00723872" w:rsidP="00723872">
      <w:pPr>
        <w:rPr>
          <w:rFonts w:ascii="Candara Light" w:hAnsi="Candara Light"/>
        </w:rPr>
      </w:pPr>
      <w:r w:rsidRPr="00723872">
        <w:rPr>
          <w:rFonts w:ascii="Candara Light" w:hAnsi="Candara Light"/>
          <w:b/>
          <w:bCs/>
        </w:rPr>
        <w:t>3. Discussion à visée civique — 20 min.</w:t>
      </w:r>
      <w:r w:rsidRPr="00723872">
        <w:rPr>
          <w:rFonts w:ascii="Candara Light" w:hAnsi="Candara Light"/>
        </w:rPr>
        <w:t xml:space="preserve"> Chaque groupe défend une ou deux mesures : expliciter autrement la consigne, donner un temps d’essai, adapter un rôle, demander à Noa ce qui l’aiderait, revoir la règle pour tous si nécessaire. L’enseignant questionne : « Est-ce aider que faire à la place de quelqu’un ? », « Pourquoi une règle identique peut-elle créer un obstacle ? », « Qui doit agir pour éviter l’exclusion ? » Les propositions sont discutées en fonction de leur faisabilité et de leur respect de la personne. </w:t>
      </w:r>
    </w:p>
    <w:p w14:paraId="3ABF49E2" w14:textId="51378215" w:rsidR="003C1E6F" w:rsidRPr="00723872" w:rsidRDefault="00723872">
      <w:pPr>
        <w:rPr>
          <w:rFonts w:ascii="Candara Light" w:hAnsi="Candara Light"/>
        </w:rPr>
      </w:pPr>
      <w:r w:rsidRPr="00723872">
        <w:rPr>
          <w:rFonts w:ascii="Candara Light" w:hAnsi="Candara Light"/>
          <w:b/>
          <w:bCs/>
        </w:rPr>
        <w:t>4. Trace écrite et réinvestissement — 10 min.</w:t>
      </w:r>
      <w:r w:rsidRPr="00723872">
        <w:rPr>
          <w:rFonts w:ascii="Candara Light" w:hAnsi="Candara Light"/>
        </w:rPr>
        <w:t xml:space="preserve"> La classe construit une mini-charte : « Ne pas se moquer ; inviter plutôt qu’écarter ; demander ce dont la personne a besoin ; ajuster l’activité si nécessaire. » Individuellement, les élèves rédigent une réponse à une nouvelle vignette : un camarade n’ose pas participer à une activité collective parce que les autres le jugent différent. La réponse doit nommer une attitude excluante et justifier deux gestes inclusifs. Ce court transfert permet de constater ce qui a été appris en EMC.</w:t>
      </w:r>
    </w:p>
    <w:sectPr w:rsidR="003C1E6F" w:rsidRPr="00723872" w:rsidSect="00723872">
      <w:footerReference w:type="default" r:id="rId8"/>
      <w:pgSz w:w="11906" w:h="16838"/>
      <w:pgMar w:top="765" w:right="964" w:bottom="765"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2BA11" w14:textId="77777777" w:rsidR="00B400D6" w:rsidRDefault="00B400D6">
      <w:pPr>
        <w:spacing w:after="0" w:line="240" w:lineRule="auto"/>
      </w:pPr>
      <w:r>
        <w:separator/>
      </w:r>
    </w:p>
  </w:endnote>
  <w:endnote w:type="continuationSeparator" w:id="0">
    <w:p w14:paraId="4F365CBB" w14:textId="77777777" w:rsidR="00B400D6" w:rsidRDefault="00B40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ndara Light">
    <w:panose1 w:val="020E0502030303020204"/>
    <w:charset w:val="00"/>
    <w:family w:val="swiss"/>
    <w:pitch w:val="variable"/>
    <w:sig w:usb0="A00002EF" w:usb1="4000A44B" w:usb2="00000000" w:usb3="00000000" w:csb0="0000019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C3D9" w14:textId="77777777" w:rsidR="00723872" w:rsidRPr="002E38B3" w:rsidRDefault="00723872" w:rsidP="00A15C21">
    <w:pPr>
      <w:pStyle w:val="Pieddepage"/>
      <w:rPr>
        <w:rFonts w:ascii="Avenir Next LT Pro Light" w:hAnsi="Avenir Next LT Pro Light"/>
      </w:rPr>
    </w:pPr>
    <w:r w:rsidRPr="002E38B3">
      <w:rPr>
        <w:rFonts w:ascii="Avenir Next LT Pro Light" w:hAnsi="Avenir Next LT Pro Light"/>
        <w:noProof/>
        <w:lang w:eastAsia="fr-FR"/>
      </w:rPr>
      <mc:AlternateContent>
        <mc:Choice Requires="wps">
          <w:drawing>
            <wp:anchor distT="0" distB="0" distL="0" distR="0" simplePos="0" relativeHeight="251659264" behindDoc="0" locked="0" layoutInCell="1" allowOverlap="1" wp14:anchorId="1678ECE0" wp14:editId="3823F89C">
              <wp:simplePos x="0" y="0"/>
              <wp:positionH relativeFrom="rightMargin">
                <wp:align>left</wp:align>
              </wp:positionH>
              <mc:AlternateContent>
                <mc:Choice Requires="wp14">
                  <wp:positionV relativeFrom="bottomMargin">
                    <wp14:pctPosVOffset>20000</wp14:pctPosVOffset>
                  </wp:positionV>
                </mc:Choice>
                <mc:Fallback>
                  <wp:positionV relativeFrom="page">
                    <wp:posOffset>10303510</wp:posOffset>
                  </wp:positionV>
                </mc:Fallback>
              </mc:AlternateContent>
              <wp:extent cx="32004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32004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8DBC38" w14:textId="77777777" w:rsidR="00723872" w:rsidRPr="002E38B3" w:rsidRDefault="00723872">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Pr>
                              <w:noProof/>
                              <w:sz w:val="28"/>
                              <w:szCs w:val="28"/>
                            </w:rPr>
                            <w:t>1</w:t>
                          </w:r>
                          <w:r w:rsidRPr="002E38B3">
                            <w:rPr>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8ECE0" id="Rectangle 40" o:spid="_x0000_s1027" style="position:absolute;margin-left:0;margin-top:0;width:25.2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" filled="f" stroked="f" strokeweight="3pt">
              <v:textbox>
                <w:txbxContent>
                  <w:p w14:paraId="738DBC38" w14:textId="77777777" w:rsidR="00723872" w:rsidRPr="002E38B3" w:rsidRDefault="00723872">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Pr>
                        <w:noProof/>
                        <w:sz w:val="28"/>
                        <w:szCs w:val="28"/>
                      </w:rPr>
                      <w:t>1</w:t>
                    </w:r>
                    <w:r w:rsidRPr="002E38B3">
                      <w:rPr>
                        <w:sz w:val="28"/>
                        <w:szCs w:val="28"/>
                      </w:rPr>
                      <w:fldChar w:fldCharType="end"/>
                    </w:r>
                  </w:p>
                </w:txbxContent>
              </v:textbox>
              <w10:wrap type="square" anchorx="margin" anchory="margin"/>
            </v:rect>
          </w:pict>
        </mc:Fallback>
      </mc:AlternateContent>
    </w:r>
    <w:r>
      <w:rPr>
        <w:rFonts w:ascii="Avenir Next LT Pro Light" w:hAnsi="Avenir Next LT Pro Ligh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DB69B" w14:textId="77777777" w:rsidR="00B400D6" w:rsidRDefault="00B400D6">
      <w:pPr>
        <w:spacing w:after="0" w:line="240" w:lineRule="auto"/>
      </w:pPr>
      <w:r>
        <w:separator/>
      </w:r>
    </w:p>
  </w:footnote>
  <w:footnote w:type="continuationSeparator" w:id="0">
    <w:p w14:paraId="0CEDC54E" w14:textId="77777777" w:rsidR="00B400D6" w:rsidRDefault="00B400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688E"/>
    <w:multiLevelType w:val="hybridMultilevel"/>
    <w:tmpl w:val="515EDA6E"/>
    <w:lvl w:ilvl="0" w:tplc="C13CD6E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816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872"/>
    <w:rsid w:val="003C1E6F"/>
    <w:rsid w:val="006A7AAA"/>
    <w:rsid w:val="00723872"/>
    <w:rsid w:val="00740CA8"/>
    <w:rsid w:val="00B400D6"/>
    <w:rsid w:val="00C13DF2"/>
    <w:rsid w:val="00D166EF"/>
    <w:rsid w:val="00ED21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794E"/>
  <w15:chartTrackingRefBased/>
  <w15:docId w15:val="{2FBF0A36-B86C-4D16-B4DF-59AF84F70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872"/>
    <w:pPr>
      <w:spacing w:after="40" w:line="254" w:lineRule="auto"/>
    </w:pPr>
    <w:rPr>
      <w:rFonts w:ascii="Times New Roman" w:hAnsi="Times New Roman"/>
      <w:kern w:val="0"/>
      <w:sz w:val="23"/>
      <w:szCs w:val="22"/>
      <w14:ligatures w14:val="none"/>
    </w:rPr>
  </w:style>
  <w:style w:type="paragraph" w:styleId="Titre1">
    <w:name w:val="heading 1"/>
    <w:basedOn w:val="Normal"/>
    <w:next w:val="Normal"/>
    <w:link w:val="Titre1Car"/>
    <w:uiPriority w:val="9"/>
    <w:qFormat/>
    <w:rsid w:val="007238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238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2387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23872"/>
    <w:pPr>
      <w:keepNext/>
      <w:keepLines/>
      <w:spacing w:before="8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23872"/>
    <w:pPr>
      <w:keepNext/>
      <w:keepLines/>
      <w:spacing w:before="8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2387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2387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2387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2387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387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2387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2387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2387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2387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2387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2387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2387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23872"/>
    <w:rPr>
      <w:rFonts w:eastAsiaTheme="majorEastAsia" w:cstheme="majorBidi"/>
      <w:color w:val="272727" w:themeColor="text1" w:themeTint="D8"/>
    </w:rPr>
  </w:style>
  <w:style w:type="paragraph" w:styleId="Titre">
    <w:name w:val="Title"/>
    <w:basedOn w:val="Normal"/>
    <w:next w:val="Normal"/>
    <w:link w:val="TitreCar"/>
    <w:uiPriority w:val="10"/>
    <w:qFormat/>
    <w:rsid w:val="00723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2387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2387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2387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23872"/>
    <w:pPr>
      <w:spacing w:before="160"/>
      <w:jc w:val="center"/>
    </w:pPr>
    <w:rPr>
      <w:i/>
      <w:iCs/>
      <w:color w:val="404040" w:themeColor="text1" w:themeTint="BF"/>
    </w:rPr>
  </w:style>
  <w:style w:type="character" w:customStyle="1" w:styleId="CitationCar">
    <w:name w:val="Citation Car"/>
    <w:basedOn w:val="Policepardfaut"/>
    <w:link w:val="Citation"/>
    <w:uiPriority w:val="29"/>
    <w:rsid w:val="00723872"/>
    <w:rPr>
      <w:i/>
      <w:iCs/>
      <w:color w:val="404040" w:themeColor="text1" w:themeTint="BF"/>
    </w:rPr>
  </w:style>
  <w:style w:type="paragraph" w:styleId="Paragraphedeliste">
    <w:name w:val="List Paragraph"/>
    <w:basedOn w:val="Normal"/>
    <w:uiPriority w:val="34"/>
    <w:qFormat/>
    <w:rsid w:val="00723872"/>
    <w:pPr>
      <w:ind w:left="720"/>
      <w:contextualSpacing/>
    </w:pPr>
  </w:style>
  <w:style w:type="character" w:styleId="Accentuationintense">
    <w:name w:val="Intense Emphasis"/>
    <w:basedOn w:val="Policepardfaut"/>
    <w:uiPriority w:val="21"/>
    <w:qFormat/>
    <w:rsid w:val="00723872"/>
    <w:rPr>
      <w:i/>
      <w:iCs/>
      <w:color w:val="0F4761" w:themeColor="accent1" w:themeShade="BF"/>
    </w:rPr>
  </w:style>
  <w:style w:type="paragraph" w:styleId="Citationintense">
    <w:name w:val="Intense Quote"/>
    <w:basedOn w:val="Normal"/>
    <w:next w:val="Normal"/>
    <w:link w:val="CitationintenseCar"/>
    <w:uiPriority w:val="30"/>
    <w:qFormat/>
    <w:rsid w:val="00723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23872"/>
    <w:rPr>
      <w:i/>
      <w:iCs/>
      <w:color w:val="0F4761" w:themeColor="accent1" w:themeShade="BF"/>
    </w:rPr>
  </w:style>
  <w:style w:type="character" w:styleId="Rfrenceintense">
    <w:name w:val="Intense Reference"/>
    <w:basedOn w:val="Policepardfaut"/>
    <w:uiPriority w:val="32"/>
    <w:qFormat/>
    <w:rsid w:val="00723872"/>
    <w:rPr>
      <w:b/>
      <w:bCs/>
      <w:smallCaps/>
      <w:color w:val="0F4761" w:themeColor="accent1" w:themeShade="BF"/>
      <w:spacing w:val="5"/>
    </w:rPr>
  </w:style>
  <w:style w:type="paragraph" w:styleId="Pieddepage">
    <w:name w:val="footer"/>
    <w:basedOn w:val="Normal"/>
    <w:link w:val="PieddepageCar"/>
    <w:uiPriority w:val="99"/>
    <w:unhideWhenUsed/>
    <w:rsid w:val="007238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23872"/>
    <w:rPr>
      <w:rFonts w:ascii="Times New Roman" w:hAnsi="Times New Roman"/>
      <w:kern w:val="0"/>
      <w:sz w:val="23"/>
      <w:szCs w:val="22"/>
      <w14:ligatures w14:val="none"/>
    </w:rPr>
  </w:style>
  <w:style w:type="table" w:styleId="Grilledutableau">
    <w:name w:val="Table Grid"/>
    <w:basedOn w:val="TableauNormal"/>
    <w:uiPriority w:val="39"/>
    <w:rsid w:val="00723872"/>
    <w:pPr>
      <w:spacing w:after="0" w:line="240" w:lineRule="auto"/>
    </w:pPr>
    <w:rPr>
      <w:rFonts w:ascii="Candara Light" w:hAnsi="Candara Light"/>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1971</Words>
  <Characters>10314</Characters>
  <Application>Microsoft Office Word</Application>
  <DocSecurity>0</DocSecurity>
  <Lines>214</Lines>
  <Paragraphs>68</Paragraphs>
  <ScaleCrop>false</ScaleCrop>
  <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Bazile</dc:creator>
  <cp:keywords/>
  <dc:description/>
  <cp:lastModifiedBy>Sandrine Bazile</cp:lastModifiedBy>
  <cp:revision>2</cp:revision>
  <dcterms:created xsi:type="dcterms:W3CDTF">2026-10-08T15:04:00Z</dcterms:created>
  <dcterms:modified xsi:type="dcterms:W3CDTF">2026-10-08T15:04:00Z</dcterms:modified>
</cp:coreProperties>
</file>