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8FCC9B" w14:textId="70C42251" w:rsidR="0085740D" w:rsidRPr="0031628F" w:rsidRDefault="0085740D" w:rsidP="0085740D">
      <w:pPr>
        <w:jc w:val="center"/>
        <w:rPr>
          <w:rFonts w:ascii="Times New Roman" w:hAnsi="Times New Roman" w:cs="Times New Roman"/>
          <w:b/>
          <w:bCs/>
          <w:sz w:val="22"/>
          <w:szCs w:val="22"/>
        </w:rPr>
      </w:pPr>
      <w:r w:rsidRPr="0031628F">
        <w:rPr>
          <w:rFonts w:ascii="Times New Roman" w:hAnsi="Times New Roman" w:cs="Times New Roman"/>
          <w:b/>
          <w:bCs/>
          <w:sz w:val="22"/>
          <w:szCs w:val="22"/>
        </w:rPr>
        <w:t>Bases de l’ETP</w:t>
      </w:r>
    </w:p>
    <w:p w14:paraId="3CB21469" w14:textId="77777777" w:rsidR="0085740D" w:rsidRPr="0031628F" w:rsidRDefault="0085740D">
      <w:pPr>
        <w:rPr>
          <w:rFonts w:ascii="Times New Roman" w:hAnsi="Times New Roman" w:cs="Times New Roman"/>
          <w:sz w:val="22"/>
          <w:szCs w:val="22"/>
        </w:rPr>
      </w:pPr>
    </w:p>
    <w:p w14:paraId="7D923436" w14:textId="77777777" w:rsidR="0085740D" w:rsidRPr="0031628F" w:rsidRDefault="0085740D" w:rsidP="0085740D">
      <w:pPr>
        <w:spacing w:before="100" w:beforeAutospacing="1" w:after="100" w:afterAutospacing="1" w:line="240" w:lineRule="auto"/>
        <w:outlineLvl w:val="3"/>
        <w:rPr>
          <w:rFonts w:ascii="Times New Roman" w:eastAsia="Times New Roman" w:hAnsi="Times New Roman" w:cs="Times New Roman"/>
          <w:b/>
          <w:bCs/>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1. Contexte &amp; Justification : La relation bidirectionnelle</w:t>
      </w:r>
    </w:p>
    <w:p w14:paraId="6CEA07CE" w14:textId="77777777" w:rsidR="0085740D" w:rsidRPr="0031628F" w:rsidRDefault="0085740D" w:rsidP="0085740D">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Le lien métabolique et parodontal :</w:t>
      </w:r>
      <w:r w:rsidRPr="0031628F">
        <w:rPr>
          <w:rFonts w:ascii="Times New Roman" w:eastAsia="Times New Roman" w:hAnsi="Times New Roman" w:cs="Times New Roman"/>
          <w:color w:val="000000"/>
          <w:kern w:val="0"/>
          <w:sz w:val="22"/>
          <w:szCs w:val="22"/>
          <w:lang w:eastAsia="fr-FR"/>
          <w14:ligatures w14:val="none"/>
        </w:rPr>
        <w:t> Le diabète de type 2 (DT2) et les maladies parodontales entretiennent une relation bidirectionnelle étroite. L'hyperglycémie chronique favorise la formation de produits terminaux de glycation (AGEs), altérant l'immunité et les tissus de soutien de la dent. Réciproquement, l'inflammation parodontale chronique libère des cytokines pro-inflammatoires (IL-1β, TNF-α, IL-6) qui aggravent l'insulinorésistance et perturbent le contrôle glycémique.</w:t>
      </w:r>
    </w:p>
    <w:p w14:paraId="693A6457" w14:textId="77777777" w:rsidR="0085740D" w:rsidRPr="0031628F" w:rsidRDefault="0085740D" w:rsidP="0085740D">
      <w:pPr>
        <w:numPr>
          <w:ilvl w:val="0"/>
          <w:numId w:val="1"/>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Impact clinique :</w:t>
      </w:r>
      <w:r w:rsidRPr="0031628F">
        <w:rPr>
          <w:rFonts w:ascii="Times New Roman" w:eastAsia="Times New Roman" w:hAnsi="Times New Roman" w:cs="Times New Roman"/>
          <w:color w:val="000000"/>
          <w:kern w:val="0"/>
          <w:sz w:val="22"/>
          <w:szCs w:val="22"/>
          <w:lang w:eastAsia="fr-FR"/>
          <w14:ligatures w14:val="none"/>
        </w:rPr>
        <w:t> Un traitement parodontal non chirurgical permet de réduire l'hémoglobine glyquée (HbA1c) de </w:t>
      </w:r>
      <w:r w:rsidRPr="0031628F">
        <w:rPr>
          <w:rFonts w:ascii="Times New Roman" w:eastAsia="Times New Roman" w:hAnsi="Times New Roman" w:cs="Times New Roman"/>
          <w:b/>
          <w:bCs/>
          <w:color w:val="000000"/>
          <w:kern w:val="0"/>
          <w:sz w:val="22"/>
          <w:szCs w:val="22"/>
          <w:lang w:eastAsia="fr-FR"/>
          <w14:ligatures w14:val="none"/>
        </w:rPr>
        <w:t>0,4 à 0,5 %</w:t>
      </w:r>
      <w:r w:rsidRPr="0031628F">
        <w:rPr>
          <w:rFonts w:ascii="Times New Roman" w:eastAsia="Times New Roman" w:hAnsi="Times New Roman" w:cs="Times New Roman"/>
          <w:color w:val="000000"/>
          <w:kern w:val="0"/>
          <w:sz w:val="22"/>
          <w:szCs w:val="22"/>
          <w:lang w:eastAsia="fr-FR"/>
          <w14:ligatures w14:val="none"/>
        </w:rPr>
        <w:t>, un bénéfice comparable à l'ajout d'une seconde classe d'antidiabétique oral.</w:t>
      </w:r>
    </w:p>
    <w:p w14:paraId="00285D36" w14:textId="77777777" w:rsidR="0085740D" w:rsidRPr="0031628F" w:rsidRDefault="0085740D" w:rsidP="0085740D">
      <w:pPr>
        <w:spacing w:before="100" w:beforeAutospacing="1" w:after="100" w:afterAutospacing="1" w:line="240" w:lineRule="auto"/>
        <w:outlineLvl w:val="3"/>
        <w:rPr>
          <w:rFonts w:ascii="Times New Roman" w:eastAsia="Times New Roman" w:hAnsi="Times New Roman" w:cs="Times New Roman"/>
          <w:b/>
          <w:bCs/>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2. Fondements Pédagogiques (ETP)</w:t>
      </w:r>
    </w:p>
    <w:p w14:paraId="278CA0E8" w14:textId="77777777" w:rsidR="0085740D" w:rsidRPr="0031628F" w:rsidRDefault="0085740D" w:rsidP="0085740D">
      <w:pPr>
        <w:numPr>
          <w:ilvl w:val="0"/>
          <w:numId w:val="2"/>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Cadre réglementaire et théorique :</w:t>
      </w:r>
      <w:r w:rsidRPr="0031628F">
        <w:rPr>
          <w:rFonts w:ascii="Times New Roman" w:eastAsia="Times New Roman" w:hAnsi="Times New Roman" w:cs="Times New Roman"/>
          <w:color w:val="000000"/>
          <w:kern w:val="0"/>
          <w:sz w:val="22"/>
          <w:szCs w:val="22"/>
          <w:lang w:eastAsia="fr-FR"/>
          <w14:ligatures w14:val="none"/>
        </w:rPr>
        <w:t> L'Éducation Thérapeutique du Patient (ETP) est encadrée par la loi HPST (2009) et s'inscrit dans les recommandations de l'OMS. Elle vise l'autonomisation (</w:t>
      </w:r>
      <w:proofErr w:type="spellStart"/>
      <w:r w:rsidRPr="0031628F">
        <w:rPr>
          <w:rFonts w:ascii="Times New Roman" w:eastAsia="Times New Roman" w:hAnsi="Times New Roman" w:cs="Times New Roman"/>
          <w:color w:val="000000"/>
          <w:kern w:val="0"/>
          <w:sz w:val="22"/>
          <w:szCs w:val="22"/>
          <w:lang w:eastAsia="fr-FR"/>
          <w14:ligatures w14:val="none"/>
        </w:rPr>
        <w:t>empowerment</w:t>
      </w:r>
      <w:proofErr w:type="spellEnd"/>
      <w:r w:rsidRPr="0031628F">
        <w:rPr>
          <w:rFonts w:ascii="Times New Roman" w:eastAsia="Times New Roman" w:hAnsi="Times New Roman" w:cs="Times New Roman"/>
          <w:color w:val="000000"/>
          <w:kern w:val="0"/>
          <w:sz w:val="22"/>
          <w:szCs w:val="22"/>
          <w:lang w:eastAsia="fr-FR"/>
          <w14:ligatures w14:val="none"/>
        </w:rPr>
        <w:t>) du patient.</w:t>
      </w:r>
    </w:p>
    <w:p w14:paraId="5905B847" w14:textId="77777777" w:rsidR="0085740D" w:rsidRPr="0031628F" w:rsidRDefault="0085740D" w:rsidP="0085740D">
      <w:pPr>
        <w:numPr>
          <w:ilvl w:val="0"/>
          <w:numId w:val="2"/>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Modèles mobilisés :</w:t>
      </w:r>
      <w:r w:rsidRPr="0031628F">
        <w:rPr>
          <w:rFonts w:ascii="Times New Roman" w:eastAsia="Times New Roman" w:hAnsi="Times New Roman" w:cs="Times New Roman"/>
          <w:color w:val="000000"/>
          <w:kern w:val="0"/>
          <w:sz w:val="22"/>
          <w:szCs w:val="22"/>
          <w:lang w:eastAsia="fr-FR"/>
          <w14:ligatures w14:val="none"/>
        </w:rPr>
        <w:t> La conception s'appuie sur l'approche centrée sur la personne (Bilan Éducatif Partagé), les étapes du changement de Prochaska &amp; DiClemente, le sentiment d'auto-efficacité de Bandura, ainsi que l'apprentissage expérientiel des adultes (Kolb, Knowles).</w:t>
      </w:r>
    </w:p>
    <w:p w14:paraId="4B7B5568" w14:textId="77777777" w:rsidR="0085740D" w:rsidRPr="0031628F" w:rsidRDefault="0085740D" w:rsidP="0085740D">
      <w:pPr>
        <w:spacing w:before="100" w:beforeAutospacing="1" w:after="100" w:afterAutospacing="1" w:line="240" w:lineRule="auto"/>
        <w:outlineLvl w:val="3"/>
        <w:rPr>
          <w:rFonts w:ascii="Times New Roman" w:eastAsia="Times New Roman" w:hAnsi="Times New Roman" w:cs="Times New Roman"/>
          <w:b/>
          <w:bCs/>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3. L'Atelier : « Mon diabète et ma santé orale »</w:t>
      </w:r>
    </w:p>
    <w:p w14:paraId="558859E9" w14:textId="6A3D2D13" w:rsidR="0085740D" w:rsidRPr="0031628F" w:rsidRDefault="0085740D" w:rsidP="0085740D">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Modalités pratiques :</w:t>
      </w:r>
      <w:r w:rsidRPr="0031628F">
        <w:rPr>
          <w:rFonts w:ascii="Times New Roman" w:eastAsia="Times New Roman" w:hAnsi="Times New Roman" w:cs="Times New Roman"/>
          <w:color w:val="000000"/>
          <w:kern w:val="0"/>
          <w:sz w:val="22"/>
          <w:szCs w:val="22"/>
          <w:lang w:eastAsia="fr-FR"/>
          <w14:ligatures w14:val="none"/>
        </w:rPr>
        <w:t> l’atelier s'adresse à</w:t>
      </w:r>
      <w:r w:rsidRPr="0031628F">
        <w:rPr>
          <w:rFonts w:ascii="Times New Roman" w:eastAsia="Times New Roman" w:hAnsi="Times New Roman" w:cs="Times New Roman"/>
          <w:b/>
          <w:bCs/>
          <w:color w:val="000000"/>
          <w:kern w:val="0"/>
          <w:sz w:val="22"/>
          <w:szCs w:val="22"/>
          <w:lang w:eastAsia="fr-FR"/>
          <w14:ligatures w14:val="none"/>
        </w:rPr>
        <w:t xml:space="preserve"> des patients</w:t>
      </w:r>
      <w:r w:rsidRPr="0031628F">
        <w:rPr>
          <w:rFonts w:ascii="Times New Roman" w:eastAsia="Times New Roman" w:hAnsi="Times New Roman" w:cs="Times New Roman"/>
          <w:color w:val="000000"/>
          <w:kern w:val="0"/>
          <w:sz w:val="22"/>
          <w:szCs w:val="22"/>
          <w:lang w:eastAsia="fr-FR"/>
          <w14:ligatures w14:val="none"/>
        </w:rPr>
        <w:t> adultes pour une durée de </w:t>
      </w:r>
      <w:r w:rsidRPr="0031628F">
        <w:rPr>
          <w:rFonts w:ascii="Times New Roman" w:eastAsia="Times New Roman" w:hAnsi="Times New Roman" w:cs="Times New Roman"/>
          <w:b/>
          <w:bCs/>
          <w:color w:val="000000"/>
          <w:kern w:val="0"/>
          <w:sz w:val="22"/>
          <w:szCs w:val="22"/>
          <w:lang w:eastAsia="fr-FR"/>
          <w14:ligatures w14:val="none"/>
        </w:rPr>
        <w:t>1h45 à 2h</w:t>
      </w:r>
      <w:r w:rsidRPr="0031628F">
        <w:rPr>
          <w:rFonts w:ascii="Times New Roman" w:eastAsia="Times New Roman" w:hAnsi="Times New Roman" w:cs="Times New Roman"/>
          <w:color w:val="000000"/>
          <w:kern w:val="0"/>
          <w:sz w:val="22"/>
          <w:szCs w:val="22"/>
          <w:lang w:eastAsia="fr-FR"/>
          <w14:ligatures w14:val="none"/>
        </w:rPr>
        <w:t xml:space="preserve">. </w:t>
      </w:r>
    </w:p>
    <w:p w14:paraId="6AEE2565" w14:textId="77777777" w:rsidR="0085740D" w:rsidRPr="0031628F" w:rsidRDefault="0085740D" w:rsidP="0085740D">
      <w:pPr>
        <w:numPr>
          <w:ilvl w:val="0"/>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t>Déroulement en 4 séquences clés :</w:t>
      </w:r>
    </w:p>
    <w:p w14:paraId="4D1D8728" w14:textId="73FFBB39" w:rsidR="0085740D" w:rsidRPr="0031628F" w:rsidRDefault="0085740D" w:rsidP="0085740D">
      <w:pPr>
        <w:numPr>
          <w:ilvl w:val="1"/>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i/>
          <w:iCs/>
          <w:color w:val="000000"/>
          <w:kern w:val="0"/>
          <w:sz w:val="22"/>
          <w:szCs w:val="22"/>
          <w:lang w:eastAsia="fr-FR"/>
          <w14:ligatures w14:val="none"/>
        </w:rPr>
        <w:t>Accueil &amp; Représentations (30 min) :</w:t>
      </w:r>
      <w:r w:rsidRPr="0031628F">
        <w:rPr>
          <w:rFonts w:ascii="Times New Roman" w:eastAsia="Times New Roman" w:hAnsi="Times New Roman" w:cs="Times New Roman"/>
          <w:color w:val="000000"/>
          <w:kern w:val="0"/>
          <w:sz w:val="22"/>
          <w:szCs w:val="22"/>
          <w:lang w:eastAsia="fr-FR"/>
          <w14:ligatures w14:val="none"/>
        </w:rPr>
        <w:t xml:space="preserve"> Climat d'échange, questionnaire, tour de table et </w:t>
      </w:r>
      <w:proofErr w:type="spellStart"/>
      <w:r w:rsidRPr="0031628F">
        <w:rPr>
          <w:rFonts w:ascii="Times New Roman" w:eastAsia="Times New Roman" w:hAnsi="Times New Roman" w:cs="Times New Roman"/>
          <w:color w:val="000000"/>
          <w:kern w:val="0"/>
          <w:sz w:val="22"/>
          <w:szCs w:val="22"/>
          <w:lang w:eastAsia="fr-FR"/>
          <w14:ligatures w14:val="none"/>
        </w:rPr>
        <w:t>auto-positionnement</w:t>
      </w:r>
      <w:proofErr w:type="spellEnd"/>
      <w:r w:rsidRPr="0031628F">
        <w:rPr>
          <w:rFonts w:ascii="Times New Roman" w:eastAsia="Times New Roman" w:hAnsi="Times New Roman" w:cs="Times New Roman"/>
          <w:color w:val="000000"/>
          <w:kern w:val="0"/>
          <w:sz w:val="22"/>
          <w:szCs w:val="22"/>
          <w:lang w:eastAsia="fr-FR"/>
          <w14:ligatures w14:val="none"/>
        </w:rPr>
        <w:t xml:space="preserve"> des connaissances, associés à un exercice « vrai/faux ».</w:t>
      </w:r>
    </w:p>
    <w:p w14:paraId="00D6DFEE" w14:textId="77777777" w:rsidR="0085740D" w:rsidRPr="0031628F" w:rsidRDefault="0085740D" w:rsidP="0085740D">
      <w:pPr>
        <w:numPr>
          <w:ilvl w:val="1"/>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i/>
          <w:iCs/>
          <w:color w:val="000000"/>
          <w:kern w:val="0"/>
          <w:sz w:val="22"/>
          <w:szCs w:val="22"/>
          <w:lang w:eastAsia="fr-FR"/>
          <w14:ligatures w14:val="none"/>
        </w:rPr>
        <w:t>Séquence Éducative (30 min) :</w:t>
      </w:r>
      <w:r w:rsidRPr="0031628F">
        <w:rPr>
          <w:rFonts w:ascii="Times New Roman" w:eastAsia="Times New Roman" w:hAnsi="Times New Roman" w:cs="Times New Roman"/>
          <w:color w:val="000000"/>
          <w:kern w:val="0"/>
          <w:sz w:val="22"/>
          <w:szCs w:val="22"/>
          <w:lang w:eastAsia="fr-FR"/>
          <w14:ligatures w14:val="none"/>
        </w:rPr>
        <w:t> Utilisation d'un </w:t>
      </w:r>
      <w:r w:rsidRPr="0031628F">
        <w:rPr>
          <w:rFonts w:ascii="Times New Roman" w:eastAsia="Times New Roman" w:hAnsi="Times New Roman" w:cs="Times New Roman"/>
          <w:b/>
          <w:bCs/>
          <w:color w:val="000000"/>
          <w:kern w:val="0"/>
          <w:sz w:val="22"/>
          <w:szCs w:val="22"/>
          <w:lang w:eastAsia="fr-FR"/>
          <w14:ligatures w14:val="none"/>
        </w:rPr>
        <w:t>puzzle de cartes à lier</w:t>
      </w:r>
      <w:r w:rsidRPr="0031628F">
        <w:rPr>
          <w:rFonts w:ascii="Times New Roman" w:eastAsia="Times New Roman" w:hAnsi="Times New Roman" w:cs="Times New Roman"/>
          <w:color w:val="000000"/>
          <w:kern w:val="0"/>
          <w:sz w:val="22"/>
          <w:szCs w:val="22"/>
          <w:lang w:eastAsia="fr-FR"/>
          <w14:ligatures w14:val="none"/>
        </w:rPr>
        <w:t> permettant aux participants de reconstituer activement le cercle vicieux inflammatoire entre diabète et parodonte.</w:t>
      </w:r>
    </w:p>
    <w:p w14:paraId="4E594B22" w14:textId="77777777" w:rsidR="0085740D" w:rsidRPr="0031628F" w:rsidRDefault="0085740D" w:rsidP="0085740D">
      <w:pPr>
        <w:numPr>
          <w:ilvl w:val="1"/>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i/>
          <w:iCs/>
          <w:color w:val="000000"/>
          <w:kern w:val="0"/>
          <w:sz w:val="22"/>
          <w:szCs w:val="22"/>
          <w:lang w:eastAsia="fr-FR"/>
          <w14:ligatures w14:val="none"/>
        </w:rPr>
        <w:t>Atelier Pratique (45 min) :</w:t>
      </w:r>
      <w:r w:rsidRPr="0031628F">
        <w:rPr>
          <w:rFonts w:ascii="Times New Roman" w:eastAsia="Times New Roman" w:hAnsi="Times New Roman" w:cs="Times New Roman"/>
          <w:color w:val="000000"/>
          <w:kern w:val="0"/>
          <w:sz w:val="22"/>
          <w:szCs w:val="22"/>
          <w:lang w:eastAsia="fr-FR"/>
          <w14:ligatures w14:val="none"/>
        </w:rPr>
        <w:t> Démonstration et manipulation sur modèles anatomiques des techniques d'hygiène adaptées (technique de brossage de Bass modifiée, brossettes interdentaires adaptées, fil dentaire). Exercice en sous-groupes (listes des actions « à faire » et « à éviter »).</w:t>
      </w:r>
    </w:p>
    <w:p w14:paraId="52A42E7E" w14:textId="06ABFE43" w:rsidR="0085740D" w:rsidRPr="0031628F" w:rsidRDefault="0085740D" w:rsidP="0085740D">
      <w:pPr>
        <w:numPr>
          <w:ilvl w:val="1"/>
          <w:numId w:val="3"/>
        </w:numPr>
        <w:spacing w:before="100" w:beforeAutospacing="1" w:after="100" w:afterAutospacing="1" w:line="240"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i/>
          <w:iCs/>
          <w:color w:val="000000"/>
          <w:kern w:val="0"/>
          <w:sz w:val="22"/>
          <w:szCs w:val="22"/>
          <w:lang w:eastAsia="fr-FR"/>
          <w14:ligatures w14:val="none"/>
        </w:rPr>
        <w:t>Synthèse &amp; Conclusion (15 min) :</w:t>
      </w:r>
      <w:r w:rsidRPr="0031628F">
        <w:rPr>
          <w:rFonts w:ascii="Times New Roman" w:eastAsia="Times New Roman" w:hAnsi="Times New Roman" w:cs="Times New Roman"/>
          <w:color w:val="000000"/>
          <w:kern w:val="0"/>
          <w:sz w:val="22"/>
          <w:szCs w:val="22"/>
          <w:lang w:eastAsia="fr-FR"/>
          <w14:ligatures w14:val="none"/>
        </w:rPr>
        <w:t> Bilan collectif, formalisation d'un engagement personnel + questionnaire final.</w:t>
      </w:r>
    </w:p>
    <w:p w14:paraId="40BE1968" w14:textId="194CEB59" w:rsidR="0031628F" w:rsidRPr="0031628F" w:rsidRDefault="0031628F">
      <w:pPr>
        <w:rPr>
          <w:rFonts w:ascii="Times New Roman" w:hAnsi="Times New Roman" w:cs="Times New Roman"/>
          <w:sz w:val="22"/>
          <w:szCs w:val="22"/>
        </w:rPr>
      </w:pPr>
      <w:r w:rsidRPr="0031628F">
        <w:rPr>
          <w:rFonts w:ascii="Times New Roman" w:hAnsi="Times New Roman" w:cs="Times New Roman"/>
          <w:sz w:val="22"/>
          <w:szCs w:val="22"/>
        </w:rPr>
        <w:br w:type="page"/>
      </w:r>
    </w:p>
    <w:p w14:paraId="36ED6C1B" w14:textId="2373A143" w:rsidR="0085740D" w:rsidRPr="0031628F" w:rsidRDefault="0031628F" w:rsidP="0031628F">
      <w:pPr>
        <w:jc w:val="center"/>
        <w:rPr>
          <w:rFonts w:ascii="Times New Roman" w:hAnsi="Times New Roman" w:cs="Times New Roman"/>
          <w:b/>
          <w:bCs/>
          <w:sz w:val="22"/>
          <w:szCs w:val="22"/>
        </w:rPr>
      </w:pPr>
      <w:r w:rsidRPr="0031628F">
        <w:rPr>
          <w:rFonts w:ascii="Times New Roman" w:hAnsi="Times New Roman" w:cs="Times New Roman"/>
          <w:b/>
          <w:bCs/>
          <w:sz w:val="22"/>
          <w:szCs w:val="22"/>
        </w:rPr>
        <w:lastRenderedPageBreak/>
        <w:t>Questionnaire début</w:t>
      </w:r>
    </w:p>
    <w:p w14:paraId="3491CA9E"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0 : Profil du participant</w:t>
      </w:r>
    </w:p>
    <w:p w14:paraId="5816E1E5"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Âge : ……</w:t>
      </w:r>
    </w:p>
    <w:p w14:paraId="00E4E783"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Sexe :</w:t>
      </w:r>
    </w:p>
    <w:p w14:paraId="68922D7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Femme </w:t>
      </w:r>
      <w:r w:rsidRPr="0031628F">
        <w:rPr>
          <w:rFonts w:ascii="Segoe UI Symbol" w:hAnsi="Segoe UI Symbol" w:cs="Segoe UI Symbol"/>
          <w:sz w:val="22"/>
          <w:szCs w:val="22"/>
        </w:rPr>
        <w:t>☐</w:t>
      </w:r>
      <w:r w:rsidRPr="0031628F">
        <w:rPr>
          <w:rFonts w:ascii="Times New Roman" w:hAnsi="Times New Roman"/>
          <w:sz w:val="22"/>
          <w:szCs w:val="22"/>
        </w:rPr>
        <w:t xml:space="preserve"> Homme </w:t>
      </w:r>
      <w:r w:rsidRPr="0031628F">
        <w:rPr>
          <w:rFonts w:ascii="Segoe UI Symbol" w:hAnsi="Segoe UI Symbol" w:cs="Segoe UI Symbol"/>
          <w:sz w:val="22"/>
          <w:szCs w:val="22"/>
        </w:rPr>
        <w:t>☐</w:t>
      </w:r>
      <w:r w:rsidRPr="0031628F">
        <w:rPr>
          <w:rFonts w:ascii="Times New Roman" w:hAnsi="Times New Roman"/>
          <w:sz w:val="22"/>
          <w:szCs w:val="22"/>
        </w:rPr>
        <w:t xml:space="preserve"> Autre</w:t>
      </w:r>
    </w:p>
    <w:p w14:paraId="4AE7BDEC"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Êtes-vous concerné(e) par :</w:t>
      </w:r>
    </w:p>
    <w:p w14:paraId="376DDDC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Diabète de type 1</w:t>
      </w:r>
    </w:p>
    <w:p w14:paraId="0CE2DDD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Diabète de type 2</w:t>
      </w:r>
    </w:p>
    <w:p w14:paraId="7666195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Je ne sais pas / ne souhaite pas répondre</w:t>
      </w:r>
    </w:p>
    <w:p w14:paraId="45E6DEF8"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Depuis combien de temps êtes-vous diabétique ?</w:t>
      </w:r>
    </w:p>
    <w:p w14:paraId="4504AB2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&lt; 1 an</w:t>
      </w:r>
    </w:p>
    <w:p w14:paraId="5F26056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1–5 ans</w:t>
      </w:r>
    </w:p>
    <w:p w14:paraId="50AB0AC7" w14:textId="77777777" w:rsid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&gt; 5 ans</w:t>
      </w:r>
    </w:p>
    <w:p w14:paraId="0662E018" w14:textId="77777777" w:rsidR="0031628F" w:rsidRPr="0031628F" w:rsidRDefault="0031628F" w:rsidP="0031628F">
      <w:pPr>
        <w:pStyle w:val="p1"/>
        <w:spacing w:line="276" w:lineRule="auto"/>
        <w:rPr>
          <w:rFonts w:ascii="Times New Roman" w:hAnsi="Times New Roman"/>
          <w:sz w:val="22"/>
          <w:szCs w:val="22"/>
        </w:rPr>
      </w:pPr>
    </w:p>
    <w:p w14:paraId="4CC94883"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1 : Connaissances</w:t>
      </w:r>
    </w:p>
    <w:p w14:paraId="60EFA9B9"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Un diabète mal équilibré peut favoriser l’apparition ou l’aggravation des maladies des</w:t>
      </w:r>
    </w:p>
    <w:p w14:paraId="654EF9C4"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gencives</w:t>
      </w:r>
      <w:proofErr w:type="gramEnd"/>
      <w:r w:rsidRPr="0031628F">
        <w:rPr>
          <w:rFonts w:ascii="Times New Roman" w:hAnsi="Times New Roman"/>
          <w:sz w:val="22"/>
          <w:szCs w:val="22"/>
        </w:rPr>
        <w:t xml:space="preserve">. </w:t>
      </w: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p>
    <w:p w14:paraId="21D0D30F"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t>Faux</w:t>
      </w:r>
    </w:p>
    <w:p w14:paraId="633DADC7"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Traiter une maladie des gencives peut aider à stabiliser le diabète. </w:t>
      </w: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p>
    <w:p w14:paraId="5040A87F"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t>Faux</w:t>
      </w:r>
    </w:p>
    <w:p w14:paraId="5B8CFDFB"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La bouche sèche peut favoriser les caries et infections buccales. Faux</w:t>
      </w:r>
    </w:p>
    <w:p w14:paraId="4AF86AF6"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Le surpoids peut augmenter le risque de maladies bucco-dentaires. Faux</w:t>
      </w:r>
    </w:p>
    <w:p w14:paraId="372C44F9"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p>
    <w:p w14:paraId="385EC39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p>
    <w:p w14:paraId="7F43E095" w14:textId="77777777" w:rsidR="0031628F" w:rsidRDefault="0031628F" w:rsidP="0031628F">
      <w:pPr>
        <w:pStyle w:val="p1"/>
        <w:spacing w:line="276" w:lineRule="auto"/>
        <w:rPr>
          <w:rFonts w:ascii="Times New Roman" w:hAnsi="Times New Roman"/>
          <w:sz w:val="22"/>
          <w:szCs w:val="22"/>
        </w:rPr>
      </w:pPr>
    </w:p>
    <w:p w14:paraId="26838953" w14:textId="1A3BB2B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2 : Habitudes d’hygiène bucco-dentaire</w:t>
      </w:r>
    </w:p>
    <w:p w14:paraId="1F37F179"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moment vous brossez-vous les dents ?</w:t>
      </w:r>
    </w:p>
    <w:p w14:paraId="40376AE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Moins d’une fois/jour</w:t>
      </w:r>
    </w:p>
    <w:p w14:paraId="290CDF6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1 fois/jour</w:t>
      </w:r>
    </w:p>
    <w:p w14:paraId="6DE286A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2 fois/jour</w:t>
      </w:r>
    </w:p>
    <w:p w14:paraId="265546A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 3 fois/jour</w:t>
      </w:r>
    </w:p>
    <w:p w14:paraId="30856517"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Combien de temps dure votre brossage ?</w:t>
      </w:r>
    </w:p>
    <w:p w14:paraId="0884021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Plus de 2 minutes</w:t>
      </w:r>
    </w:p>
    <w:p w14:paraId="4B50106E"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Entre 1-2 minutes</w:t>
      </w:r>
    </w:p>
    <w:p w14:paraId="5993260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Moins de 1 minute</w:t>
      </w:r>
    </w:p>
    <w:p w14:paraId="7D269AC1"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Utilisez-vous un moyen de nettoyage interdentaire (fil dentaire ou brossettes</w:t>
      </w:r>
    </w:p>
    <w:p w14:paraId="4D0BD181"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interdentaires</w:t>
      </w:r>
      <w:proofErr w:type="gramEnd"/>
      <w:r w:rsidRPr="0031628F">
        <w:rPr>
          <w:rFonts w:ascii="Times New Roman" w:hAnsi="Times New Roman"/>
          <w:sz w:val="22"/>
          <w:szCs w:val="22"/>
        </w:rPr>
        <w:t>) ?</w:t>
      </w:r>
    </w:p>
    <w:p w14:paraId="5971113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Tous les jours</w:t>
      </w:r>
    </w:p>
    <w:p w14:paraId="61AE2C2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Parfois</w:t>
      </w:r>
    </w:p>
    <w:p w14:paraId="71E1488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Jamais</w:t>
      </w:r>
    </w:p>
    <w:p w14:paraId="6AA789BA"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Vos gencives saignent-elles lors du brossage ?</w:t>
      </w:r>
    </w:p>
    <w:p w14:paraId="385B90FE"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Souvent</w:t>
      </w:r>
    </w:p>
    <w:p w14:paraId="2BD633B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Parfois</w:t>
      </w:r>
    </w:p>
    <w:p w14:paraId="538BE733"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lastRenderedPageBreak/>
        <w:t>☐</w:t>
      </w:r>
      <w:r w:rsidRPr="0031628F">
        <w:rPr>
          <w:rFonts w:ascii="Times New Roman" w:hAnsi="Times New Roman"/>
          <w:sz w:val="22"/>
          <w:szCs w:val="22"/>
        </w:rPr>
        <w:t xml:space="preserve"> Jamais</w:t>
      </w:r>
    </w:p>
    <w:p w14:paraId="39316DF0"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De quand date votre dernier contrôle chez le chirurgien-dentiste ?</w:t>
      </w:r>
    </w:p>
    <w:p w14:paraId="385364E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Moins de 6 mois54</w:t>
      </w:r>
    </w:p>
    <w:p w14:paraId="7253E90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Entre 6–12 mois</w:t>
      </w:r>
    </w:p>
    <w:p w14:paraId="181ED6C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Plus de 12 mois</w:t>
      </w:r>
    </w:p>
    <w:p w14:paraId="72237805"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Comment évaluez-vous votre santé bucco-dentaire ?</w:t>
      </w:r>
    </w:p>
    <w:p w14:paraId="55C05A3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Très mauvaise</w:t>
      </w:r>
    </w:p>
    <w:p w14:paraId="4F50E5B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Mauvaise</w:t>
      </w:r>
    </w:p>
    <w:p w14:paraId="6D8A58A0"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w:t>
      </w:r>
    </w:p>
    <w:p w14:paraId="6F76F193"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Bonne</w:t>
      </w:r>
    </w:p>
    <w:p w14:paraId="411E938E"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Très bonne</w:t>
      </w:r>
    </w:p>
    <w:p w14:paraId="5C03EA37" w14:textId="77777777" w:rsidR="0031628F" w:rsidRDefault="0031628F" w:rsidP="0031628F">
      <w:pPr>
        <w:pStyle w:val="p1"/>
        <w:spacing w:line="276" w:lineRule="auto"/>
        <w:rPr>
          <w:rFonts w:ascii="Times New Roman" w:hAnsi="Times New Roman"/>
          <w:sz w:val="22"/>
          <w:szCs w:val="22"/>
        </w:rPr>
      </w:pPr>
    </w:p>
    <w:p w14:paraId="4D0F91DE" w14:textId="6A0BA69E"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3 : Alimentation</w:t>
      </w:r>
    </w:p>
    <w:p w14:paraId="695BBEF9"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Combien de fois consommez-vous des boissons ou aliments sucrés en dehors des</w:t>
      </w:r>
    </w:p>
    <w:p w14:paraId="7FBA41AD"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repas</w:t>
      </w:r>
      <w:proofErr w:type="gramEnd"/>
      <w:r w:rsidRPr="0031628F">
        <w:rPr>
          <w:rFonts w:ascii="Times New Roman" w:hAnsi="Times New Roman"/>
          <w:sz w:val="22"/>
          <w:szCs w:val="22"/>
        </w:rPr>
        <w:t xml:space="preserve"> ?</w:t>
      </w:r>
    </w:p>
    <w:p w14:paraId="27768748"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Rarement</w:t>
      </w:r>
    </w:p>
    <w:p w14:paraId="09308B2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1 fois/jour</w:t>
      </w:r>
    </w:p>
    <w:p w14:paraId="26583C2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2–3 fois/jour</w:t>
      </w:r>
    </w:p>
    <w:p w14:paraId="22077E5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&gt; 3 fois/jour</w:t>
      </w:r>
    </w:p>
    <w:p w14:paraId="14871DA9"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Sur une échelle de 1 à 10, quel impact pensez-vous que votre alimentation a sur vos</w:t>
      </w:r>
    </w:p>
    <w:p w14:paraId="1E89A381"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dents</w:t>
      </w:r>
      <w:proofErr w:type="gramEnd"/>
      <w:r w:rsidRPr="0031628F">
        <w:rPr>
          <w:rFonts w:ascii="Times New Roman" w:hAnsi="Times New Roman"/>
          <w:sz w:val="22"/>
          <w:szCs w:val="22"/>
        </w:rPr>
        <w:t xml:space="preserve"> ?</w:t>
      </w:r>
    </w:p>
    <w:p w14:paraId="21524DC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Entre 0-3</w:t>
      </w:r>
    </w:p>
    <w:p w14:paraId="6D7F855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Entre 3-7</w:t>
      </w:r>
    </w:p>
    <w:p w14:paraId="502A5814" w14:textId="77777777" w:rsid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Entre 7-10</w:t>
      </w:r>
    </w:p>
    <w:p w14:paraId="6AADC2C3" w14:textId="77777777" w:rsidR="0031628F" w:rsidRPr="0031628F" w:rsidRDefault="0031628F" w:rsidP="0031628F">
      <w:pPr>
        <w:pStyle w:val="p1"/>
        <w:spacing w:line="276" w:lineRule="auto"/>
        <w:rPr>
          <w:rFonts w:ascii="Times New Roman" w:hAnsi="Times New Roman"/>
          <w:sz w:val="22"/>
          <w:szCs w:val="22"/>
        </w:rPr>
      </w:pPr>
    </w:p>
    <w:p w14:paraId="0381E770"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4 : Vos attentes</w:t>
      </w:r>
    </w:p>
    <w:p w14:paraId="299863F1"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t>Quelle est la question principale que vous souhaitez voir</w:t>
      </w:r>
    </w:p>
    <w:p w14:paraId="740CD920" w14:textId="77777777" w:rsidR="0031628F" w:rsidRPr="0031628F" w:rsidRDefault="0031628F">
      <w:pPr>
        <w:rPr>
          <w:rFonts w:ascii="Times New Roman" w:hAnsi="Times New Roman" w:cs="Times New Roman"/>
          <w:sz w:val="22"/>
          <w:szCs w:val="22"/>
        </w:rPr>
      </w:pPr>
    </w:p>
    <w:p w14:paraId="74D83CD8" w14:textId="26A319BD" w:rsidR="0031628F" w:rsidRPr="0031628F" w:rsidRDefault="0031628F">
      <w:pPr>
        <w:rPr>
          <w:rFonts w:ascii="Times New Roman" w:hAnsi="Times New Roman" w:cs="Times New Roman"/>
          <w:sz w:val="22"/>
          <w:szCs w:val="22"/>
        </w:rPr>
      </w:pPr>
      <w:r w:rsidRPr="0031628F">
        <w:rPr>
          <w:rFonts w:ascii="Times New Roman" w:hAnsi="Times New Roman" w:cs="Times New Roman"/>
          <w:sz w:val="22"/>
          <w:szCs w:val="22"/>
        </w:rPr>
        <w:br w:type="page"/>
      </w:r>
    </w:p>
    <w:p w14:paraId="4AA47B8B" w14:textId="3090F64C" w:rsidR="0031628F" w:rsidRPr="0031628F" w:rsidRDefault="0031628F" w:rsidP="0031628F">
      <w:pPr>
        <w:spacing w:after="0" w:line="240" w:lineRule="auto"/>
        <w:jc w:val="center"/>
        <w:rPr>
          <w:rFonts w:ascii="Times New Roman" w:eastAsia="Times New Roman" w:hAnsi="Times New Roman" w:cs="Times New Roman"/>
          <w:b/>
          <w:bCs/>
          <w:color w:val="000000"/>
          <w:kern w:val="0"/>
          <w:sz w:val="22"/>
          <w:szCs w:val="22"/>
          <w:lang w:eastAsia="fr-FR"/>
          <w14:ligatures w14:val="none"/>
        </w:rPr>
      </w:pPr>
      <w:r w:rsidRPr="0031628F">
        <w:rPr>
          <w:rFonts w:ascii="Times New Roman" w:eastAsia="Times New Roman" w:hAnsi="Times New Roman" w:cs="Times New Roman"/>
          <w:b/>
          <w:bCs/>
          <w:color w:val="000000"/>
          <w:kern w:val="0"/>
          <w:sz w:val="22"/>
          <w:szCs w:val="22"/>
          <w:lang w:eastAsia="fr-FR"/>
          <w14:ligatures w14:val="none"/>
        </w:rPr>
        <w:lastRenderedPageBreak/>
        <w:t>Puzzle de cartes à lier « Diabète et santé orale »</w:t>
      </w:r>
    </w:p>
    <w:p w14:paraId="2E18FA29" w14:textId="77777777" w:rsidR="0031628F" w:rsidRPr="0031628F" w:rsidRDefault="0031628F" w:rsidP="0031628F">
      <w:pPr>
        <w:spacing w:after="0" w:line="240" w:lineRule="auto"/>
        <w:rPr>
          <w:rFonts w:ascii="Times New Roman" w:eastAsia="Times New Roman" w:hAnsi="Times New Roman" w:cs="Times New Roman"/>
          <w:color w:val="000000"/>
          <w:kern w:val="0"/>
          <w:sz w:val="22"/>
          <w:szCs w:val="22"/>
          <w:lang w:eastAsia="fr-FR"/>
          <w14:ligatures w14:val="none"/>
        </w:rPr>
      </w:pPr>
    </w:p>
    <w:p w14:paraId="0244FB44" w14:textId="74605139"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Ensemble 1 — Les pièces du cercle vicieux (à relier en chaîne) : de 1 à 7</w:t>
      </w:r>
    </w:p>
    <w:p w14:paraId="2B681F78"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1. Hyperglycémie (diabète déséquilibré)</w:t>
      </w:r>
    </w:p>
    <w:p w14:paraId="548C082D"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2. Baisse des défenses immunitaires</w:t>
      </w:r>
    </w:p>
    <w:p w14:paraId="1B227F11"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3. Inflammation des gencives (gingivite)</w:t>
      </w:r>
    </w:p>
    <w:p w14:paraId="1571650D"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4. Parodontite</w:t>
      </w:r>
    </w:p>
    <w:p w14:paraId="3A3E6E34"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5. Passage de l'inflammation dans l'organisme</w:t>
      </w:r>
    </w:p>
    <w:p w14:paraId="08168980"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6. Difficulté à équilibrer le diabète</w:t>
      </w:r>
    </w:p>
    <w:p w14:paraId="63A5A759"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7. Retour à l'hyperglycémie</w:t>
      </w:r>
    </w:p>
    <w:p w14:paraId="6511F5D8"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Ensemble 2 — Les conséquences annexes (à rattacher autour de la chaîne) :</w:t>
      </w:r>
    </w:p>
    <w:p w14:paraId="7D114A9D"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Bouche sèche (xérostomie)</w:t>
      </w:r>
    </w:p>
    <w:p w14:paraId="1B685F80"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Plus de caries</w:t>
      </w:r>
    </w:p>
    <w:p w14:paraId="0E246BB9"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Candidose</w:t>
      </w:r>
    </w:p>
    <w:p w14:paraId="264550DB"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Cicatrisation ralentie</w:t>
      </w:r>
    </w:p>
    <w:p w14:paraId="4C3BA152"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Ensemble 3 — Les pièces « solutions » (pour casser le cercle) :</w:t>
      </w:r>
    </w:p>
    <w:p w14:paraId="26A8B6BC"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Brossage 2 fois par jour</w:t>
      </w:r>
    </w:p>
    <w:p w14:paraId="31770C03"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Brossettes / fil interdentaire</w:t>
      </w:r>
    </w:p>
    <w:p w14:paraId="3F148E08"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Consultation dentaire régulière</w:t>
      </w:r>
    </w:p>
    <w:p w14:paraId="12999290"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Bon équilibre glycémique</w:t>
      </w:r>
    </w:p>
    <w:p w14:paraId="289866FF"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sym w:font="Symbol" w:char="F0B7"/>
      </w:r>
      <w:r w:rsidRPr="0031628F">
        <w:rPr>
          <w:rFonts w:ascii="Times New Roman" w:eastAsia="Times New Roman" w:hAnsi="Times New Roman" w:cs="Times New Roman"/>
          <w:color w:val="000000"/>
          <w:kern w:val="0"/>
          <w:sz w:val="22"/>
          <w:szCs w:val="22"/>
          <w:lang w:eastAsia="fr-FR"/>
          <w14:ligatures w14:val="none"/>
        </w:rPr>
        <w:t xml:space="preserve"> Alimentation équilibrée</w:t>
      </w:r>
    </w:p>
    <w:p w14:paraId="79B3FF74"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Déroulement :</w:t>
      </w:r>
    </w:p>
    <w:p w14:paraId="095BF589"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Étape 1 : Construire la chaîne. Chaque participant reçoit une ou plusieurs pièces.</w:t>
      </w:r>
    </w:p>
    <w:p w14:paraId="27E74DEE"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Consigne : « Reliez les pièces pour raconter l'histoire d'une personne diabétique et de</w:t>
      </w:r>
    </w:p>
    <w:p w14:paraId="6FA57009"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proofErr w:type="gramStart"/>
      <w:r w:rsidRPr="0031628F">
        <w:rPr>
          <w:rFonts w:ascii="Times New Roman" w:eastAsia="Times New Roman" w:hAnsi="Times New Roman" w:cs="Times New Roman"/>
          <w:color w:val="000000"/>
          <w:kern w:val="0"/>
          <w:sz w:val="22"/>
          <w:szCs w:val="22"/>
          <w:lang w:eastAsia="fr-FR"/>
          <w14:ligatures w14:val="none"/>
        </w:rPr>
        <w:t>sa</w:t>
      </w:r>
      <w:proofErr w:type="gramEnd"/>
      <w:r w:rsidRPr="0031628F">
        <w:rPr>
          <w:rFonts w:ascii="Times New Roman" w:eastAsia="Times New Roman" w:hAnsi="Times New Roman" w:cs="Times New Roman"/>
          <w:color w:val="000000"/>
          <w:kern w:val="0"/>
          <w:sz w:val="22"/>
          <w:szCs w:val="22"/>
          <w:lang w:eastAsia="fr-FR"/>
          <w14:ligatures w14:val="none"/>
        </w:rPr>
        <w:t xml:space="preserve"> bouche. » Le groupe assemble la chaîne logique.</w:t>
      </w:r>
    </w:p>
    <w:p w14:paraId="38C7FB89"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Étape 2 : Repérer le cercle vicieux. Une fois la chaîne construite, l'animateur</w:t>
      </w:r>
    </w:p>
    <w:p w14:paraId="6B0990C2"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proofErr w:type="gramStart"/>
      <w:r w:rsidRPr="0031628F">
        <w:rPr>
          <w:rFonts w:ascii="Times New Roman" w:eastAsia="Times New Roman" w:hAnsi="Times New Roman" w:cs="Times New Roman"/>
          <w:color w:val="000000"/>
          <w:kern w:val="0"/>
          <w:sz w:val="22"/>
          <w:szCs w:val="22"/>
          <w:lang w:eastAsia="fr-FR"/>
          <w14:ligatures w14:val="none"/>
        </w:rPr>
        <w:t>demande</w:t>
      </w:r>
      <w:proofErr w:type="gramEnd"/>
      <w:r w:rsidRPr="0031628F">
        <w:rPr>
          <w:rFonts w:ascii="Times New Roman" w:eastAsia="Times New Roman" w:hAnsi="Times New Roman" w:cs="Times New Roman"/>
          <w:color w:val="000000"/>
          <w:kern w:val="0"/>
          <w:sz w:val="22"/>
          <w:szCs w:val="22"/>
          <w:lang w:eastAsia="fr-FR"/>
          <w14:ligatures w14:val="none"/>
        </w:rPr>
        <w:t xml:space="preserve"> : « Où voyez-vous un cercle qui se répète ? » Les participants identifient eux-</w:t>
      </w:r>
    </w:p>
    <w:p w14:paraId="69034215"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proofErr w:type="gramStart"/>
      <w:r w:rsidRPr="0031628F">
        <w:rPr>
          <w:rFonts w:ascii="Times New Roman" w:eastAsia="Times New Roman" w:hAnsi="Times New Roman" w:cs="Times New Roman"/>
          <w:color w:val="000000"/>
          <w:kern w:val="0"/>
          <w:sz w:val="22"/>
          <w:szCs w:val="22"/>
          <w:lang w:eastAsia="fr-FR"/>
          <w14:ligatures w14:val="none"/>
        </w:rPr>
        <w:t>mêmes</w:t>
      </w:r>
      <w:proofErr w:type="gramEnd"/>
      <w:r w:rsidRPr="0031628F">
        <w:rPr>
          <w:rFonts w:ascii="Times New Roman" w:eastAsia="Times New Roman" w:hAnsi="Times New Roman" w:cs="Times New Roman"/>
          <w:color w:val="000000"/>
          <w:kern w:val="0"/>
          <w:sz w:val="22"/>
          <w:szCs w:val="22"/>
          <w:lang w:eastAsia="fr-FR"/>
          <w14:ligatures w14:val="none"/>
        </w:rPr>
        <w:t xml:space="preserve"> la boucle hyperglycémie → fragilité gingivale → inflammation → déséquilibre</w:t>
      </w:r>
    </w:p>
    <w:p w14:paraId="3D0B1724"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 hyperglycémie.</w:t>
      </w:r>
    </w:p>
    <w:p w14:paraId="6D838F0D"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r w:rsidRPr="0031628F">
        <w:rPr>
          <w:rFonts w:ascii="Times New Roman" w:eastAsia="Times New Roman" w:hAnsi="Times New Roman" w:cs="Times New Roman"/>
          <w:color w:val="000000"/>
          <w:kern w:val="0"/>
          <w:sz w:val="22"/>
          <w:szCs w:val="22"/>
          <w:lang w:eastAsia="fr-FR"/>
          <w14:ligatures w14:val="none"/>
        </w:rPr>
        <w:t>Étape 3 : Rattacher les conséquences annexes. Les pièces de l'ensemble 2 sont</w:t>
      </w:r>
    </w:p>
    <w:p w14:paraId="6B13D0CB"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proofErr w:type="gramStart"/>
      <w:r w:rsidRPr="0031628F">
        <w:rPr>
          <w:rFonts w:ascii="Times New Roman" w:eastAsia="Times New Roman" w:hAnsi="Times New Roman" w:cs="Times New Roman"/>
          <w:color w:val="000000"/>
          <w:kern w:val="0"/>
          <w:sz w:val="22"/>
          <w:szCs w:val="22"/>
          <w:lang w:eastAsia="fr-FR"/>
          <w14:ligatures w14:val="none"/>
        </w:rPr>
        <w:t>ajoutées</w:t>
      </w:r>
      <w:proofErr w:type="gramEnd"/>
      <w:r w:rsidRPr="0031628F">
        <w:rPr>
          <w:rFonts w:ascii="Times New Roman" w:eastAsia="Times New Roman" w:hAnsi="Times New Roman" w:cs="Times New Roman"/>
          <w:color w:val="000000"/>
          <w:kern w:val="0"/>
          <w:sz w:val="22"/>
          <w:szCs w:val="22"/>
          <w:lang w:eastAsia="fr-FR"/>
          <w14:ligatures w14:val="none"/>
        </w:rPr>
        <w:t xml:space="preserve"> autour de la chaîne pour montrer que le diabète ne touche pas que les</w:t>
      </w:r>
    </w:p>
    <w:p w14:paraId="723DEB50" w14:textId="77777777" w:rsidR="0031628F" w:rsidRPr="0031628F" w:rsidRDefault="0031628F" w:rsidP="0031628F">
      <w:pPr>
        <w:spacing w:after="0" w:line="276" w:lineRule="auto"/>
        <w:rPr>
          <w:rFonts w:ascii="Times New Roman" w:eastAsia="Times New Roman" w:hAnsi="Times New Roman" w:cs="Times New Roman"/>
          <w:color w:val="000000"/>
          <w:kern w:val="0"/>
          <w:sz w:val="22"/>
          <w:szCs w:val="22"/>
          <w:lang w:eastAsia="fr-FR"/>
          <w14:ligatures w14:val="none"/>
        </w:rPr>
      </w:pPr>
      <w:proofErr w:type="gramStart"/>
      <w:r w:rsidRPr="0031628F">
        <w:rPr>
          <w:rFonts w:ascii="Times New Roman" w:eastAsia="Times New Roman" w:hAnsi="Times New Roman" w:cs="Times New Roman"/>
          <w:color w:val="000000"/>
          <w:kern w:val="0"/>
          <w:sz w:val="22"/>
          <w:szCs w:val="22"/>
          <w:lang w:eastAsia="fr-FR"/>
          <w14:ligatures w14:val="none"/>
        </w:rPr>
        <w:t>gencives</w:t>
      </w:r>
      <w:proofErr w:type="gramEnd"/>
      <w:r w:rsidRPr="0031628F">
        <w:rPr>
          <w:rFonts w:ascii="Times New Roman" w:eastAsia="Times New Roman" w:hAnsi="Times New Roman" w:cs="Times New Roman"/>
          <w:color w:val="000000"/>
          <w:kern w:val="0"/>
          <w:sz w:val="22"/>
          <w:szCs w:val="22"/>
          <w:lang w:eastAsia="fr-FR"/>
          <w14:ligatures w14:val="none"/>
        </w:rPr>
        <w:t>.</w:t>
      </w:r>
    </w:p>
    <w:p w14:paraId="5A1F3775" w14:textId="77777777" w:rsidR="0031628F" w:rsidRPr="0031628F" w:rsidRDefault="0031628F">
      <w:pPr>
        <w:rPr>
          <w:rFonts w:ascii="Times New Roman" w:hAnsi="Times New Roman" w:cs="Times New Roman"/>
          <w:sz w:val="22"/>
          <w:szCs w:val="22"/>
        </w:rPr>
      </w:pPr>
    </w:p>
    <w:p w14:paraId="15F3F80F" w14:textId="4B80144A" w:rsidR="0031628F" w:rsidRPr="0031628F" w:rsidRDefault="0031628F">
      <w:pPr>
        <w:rPr>
          <w:rFonts w:ascii="Times New Roman" w:hAnsi="Times New Roman" w:cs="Times New Roman"/>
          <w:sz w:val="22"/>
          <w:szCs w:val="22"/>
        </w:rPr>
      </w:pPr>
      <w:r w:rsidRPr="0031628F">
        <w:rPr>
          <w:rFonts w:ascii="Times New Roman" w:hAnsi="Times New Roman" w:cs="Times New Roman"/>
          <w:sz w:val="22"/>
          <w:szCs w:val="22"/>
        </w:rPr>
        <w:br w:type="page"/>
      </w:r>
    </w:p>
    <w:p w14:paraId="0B97479B" w14:textId="6971FD98" w:rsidR="0031628F" w:rsidRPr="0031628F" w:rsidRDefault="0031628F" w:rsidP="0031628F">
      <w:pPr>
        <w:jc w:val="center"/>
        <w:rPr>
          <w:rFonts w:ascii="Times New Roman" w:hAnsi="Times New Roman" w:cs="Times New Roman"/>
          <w:b/>
          <w:bCs/>
          <w:sz w:val="22"/>
          <w:szCs w:val="22"/>
        </w:rPr>
      </w:pPr>
      <w:r w:rsidRPr="0031628F">
        <w:rPr>
          <w:rFonts w:ascii="Times New Roman" w:hAnsi="Times New Roman" w:cs="Times New Roman"/>
          <w:b/>
          <w:bCs/>
          <w:sz w:val="22"/>
          <w:szCs w:val="22"/>
        </w:rPr>
        <w:lastRenderedPageBreak/>
        <w:t>Questionnaire final</w:t>
      </w:r>
    </w:p>
    <w:p w14:paraId="7461FB6D"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1 : Connaissances</w:t>
      </w:r>
    </w:p>
    <w:p w14:paraId="6DF77E6E"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Le diabète augmente le risque de maladies parodontales. </w:t>
      </w:r>
      <w:r w:rsidRPr="0031628F">
        <w:rPr>
          <w:rFonts w:ascii="Times New Roman" w:hAnsi="Times New Roman"/>
          <w:sz w:val="22"/>
          <w:szCs w:val="22"/>
        </w:rPr>
        <w:sym w:font="Symbol" w:char="F0D7"/>
      </w:r>
      <w:r w:rsidRPr="0031628F">
        <w:rPr>
          <w:rFonts w:ascii="Times New Roman" w:hAnsi="Times New Roman"/>
          <w:sz w:val="22"/>
          <w:szCs w:val="22"/>
        </w:rPr>
        <w:t xml:space="preserve"> Une hygiène bucco-dentaire correcte aide à équilibrer le diabète. </w:t>
      </w:r>
      <w:r w:rsidRPr="0031628F">
        <w:rPr>
          <w:rFonts w:ascii="Times New Roman" w:hAnsi="Times New Roman"/>
          <w:sz w:val="22"/>
          <w:szCs w:val="22"/>
        </w:rPr>
        <w:sym w:font="Symbol" w:char="F0D7"/>
      </w:r>
      <w:r w:rsidRPr="0031628F">
        <w:rPr>
          <w:rFonts w:ascii="Times New Roman" w:hAnsi="Times New Roman"/>
          <w:sz w:val="22"/>
          <w:szCs w:val="22"/>
        </w:rPr>
        <w:t xml:space="preserve"> La bouche sèche favorise la prolifération bactérienne et les caries. </w:t>
      </w:r>
      <w:r w:rsidRPr="0031628F">
        <w:rPr>
          <w:rFonts w:ascii="Times New Roman" w:hAnsi="Times New Roman"/>
          <w:sz w:val="22"/>
          <w:szCs w:val="22"/>
        </w:rPr>
        <w:sym w:font="Symbol" w:char="F0D7"/>
      </w:r>
      <w:r w:rsidRPr="0031628F">
        <w:rPr>
          <w:rFonts w:ascii="Times New Roman" w:hAnsi="Times New Roman"/>
          <w:sz w:val="22"/>
          <w:szCs w:val="22"/>
        </w:rPr>
        <w:t xml:space="preserve"> Une alimentation équilibrée contribue à la prévention des caries et au contrôle</w:t>
      </w:r>
    </w:p>
    <w:p w14:paraId="4ABA2923"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glycémique</w:t>
      </w:r>
      <w:proofErr w:type="gramEnd"/>
      <w:r w:rsidRPr="0031628F">
        <w:rPr>
          <w:rFonts w:ascii="Times New Roman" w:hAnsi="Times New Roman"/>
          <w:sz w:val="22"/>
          <w:szCs w:val="22"/>
        </w:rPr>
        <w:t>.</w:t>
      </w:r>
    </w:p>
    <w:p w14:paraId="62C90233"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r w:rsidRPr="0031628F">
        <w:rPr>
          <w:rFonts w:ascii="Times New Roman" w:hAnsi="Times New Roman"/>
          <w:sz w:val="22"/>
          <w:szCs w:val="22"/>
        </w:rPr>
        <w:t xml:space="preserve"> Faux</w:t>
      </w:r>
    </w:p>
    <w:p w14:paraId="54663A3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r w:rsidRPr="0031628F">
        <w:rPr>
          <w:rFonts w:ascii="Times New Roman" w:hAnsi="Times New Roman"/>
          <w:sz w:val="22"/>
          <w:szCs w:val="22"/>
        </w:rPr>
        <w:t xml:space="preserve"> Faux</w:t>
      </w:r>
    </w:p>
    <w:p w14:paraId="70D51C9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r w:rsidRPr="0031628F">
        <w:rPr>
          <w:rFonts w:ascii="Times New Roman" w:hAnsi="Times New Roman"/>
          <w:sz w:val="22"/>
          <w:szCs w:val="22"/>
        </w:rPr>
        <w:t xml:space="preserve"> Faux</w:t>
      </w:r>
    </w:p>
    <w:p w14:paraId="3AB68BF2" w14:textId="77777777" w:rsid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Vrai </w:t>
      </w:r>
      <w:r w:rsidRPr="0031628F">
        <w:rPr>
          <w:rFonts w:ascii="Segoe UI Symbol" w:hAnsi="Segoe UI Symbol" w:cs="Segoe UI Symbol"/>
          <w:sz w:val="22"/>
          <w:szCs w:val="22"/>
        </w:rPr>
        <w:t>☐</w:t>
      </w:r>
      <w:r w:rsidRPr="0031628F">
        <w:rPr>
          <w:rFonts w:ascii="Times New Roman" w:hAnsi="Times New Roman"/>
          <w:sz w:val="22"/>
          <w:szCs w:val="22"/>
        </w:rPr>
        <w:t xml:space="preserve"> Faux</w:t>
      </w:r>
    </w:p>
    <w:p w14:paraId="2FDB1B79" w14:textId="77777777" w:rsidR="0031628F" w:rsidRPr="0031628F" w:rsidRDefault="0031628F" w:rsidP="0031628F">
      <w:pPr>
        <w:pStyle w:val="p1"/>
        <w:spacing w:line="276" w:lineRule="auto"/>
        <w:rPr>
          <w:rFonts w:ascii="Times New Roman" w:hAnsi="Times New Roman"/>
          <w:sz w:val="22"/>
          <w:szCs w:val="22"/>
        </w:rPr>
      </w:pPr>
    </w:p>
    <w:p w14:paraId="08239A82"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2 : Compétences pratiques</w:t>
      </w:r>
    </w:p>
    <w:p w14:paraId="58EB2DAA"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vous sentez-vous capable de mettre en place un brossage efficace deux</w:t>
      </w:r>
    </w:p>
    <w:p w14:paraId="5143B4B0"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fois</w:t>
      </w:r>
      <w:proofErr w:type="gramEnd"/>
      <w:r w:rsidRPr="0031628F">
        <w:rPr>
          <w:rFonts w:ascii="Times New Roman" w:hAnsi="Times New Roman"/>
          <w:sz w:val="22"/>
          <w:szCs w:val="22"/>
        </w:rPr>
        <w:t xml:space="preserve"> par jour ?</w:t>
      </w:r>
    </w:p>
    <w:p w14:paraId="2D77AD4A"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capable</w:t>
      </w:r>
    </w:p>
    <w:p w14:paraId="633FB23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capable</w:t>
      </w:r>
    </w:p>
    <w:p w14:paraId="1DA3F87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capable</w:t>
      </w:r>
    </w:p>
    <w:p w14:paraId="3680A27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Capable</w:t>
      </w:r>
    </w:p>
    <w:p w14:paraId="7FE5548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capable</w:t>
      </w:r>
    </w:p>
    <w:p w14:paraId="1BE943DF"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vous sentez-vous capable d’utiliser le fil dentaire ou les brossettes pour</w:t>
      </w:r>
    </w:p>
    <w:p w14:paraId="5EDD80BA"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nettoyer</w:t>
      </w:r>
      <w:proofErr w:type="gramEnd"/>
      <w:r w:rsidRPr="0031628F">
        <w:rPr>
          <w:rFonts w:ascii="Times New Roman" w:hAnsi="Times New Roman"/>
          <w:sz w:val="22"/>
          <w:szCs w:val="22"/>
        </w:rPr>
        <w:t xml:space="preserve"> entre vos dents ?</w:t>
      </w:r>
    </w:p>
    <w:p w14:paraId="72A03AAE"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capable</w:t>
      </w:r>
    </w:p>
    <w:p w14:paraId="07F8209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capable</w:t>
      </w:r>
    </w:p>
    <w:p w14:paraId="55082D88"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capable</w:t>
      </w:r>
    </w:p>
    <w:p w14:paraId="35C795F8"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Capable</w:t>
      </w:r>
    </w:p>
    <w:p w14:paraId="44D1239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capable</w:t>
      </w:r>
    </w:p>
    <w:p w14:paraId="264EF8D3"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vous sentez-vous capable de repérer les signes précoces de problèmes</w:t>
      </w:r>
    </w:p>
    <w:p w14:paraId="3EAC8D7F"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bucco</w:t>
      </w:r>
      <w:proofErr w:type="gramEnd"/>
      <w:r w:rsidRPr="0031628F">
        <w:rPr>
          <w:rFonts w:ascii="Times New Roman" w:hAnsi="Times New Roman"/>
          <w:sz w:val="22"/>
          <w:szCs w:val="22"/>
        </w:rPr>
        <w:t>-dentaires (gencives rouges, saignements, mauvaise haleine) ?</w:t>
      </w:r>
    </w:p>
    <w:p w14:paraId="7CBD089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capable</w:t>
      </w:r>
    </w:p>
    <w:p w14:paraId="7B007A2C"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capable</w:t>
      </w:r>
    </w:p>
    <w:p w14:paraId="5C5BF60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capable</w:t>
      </w:r>
    </w:p>
    <w:p w14:paraId="4EFA30C0"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Capable</w:t>
      </w:r>
    </w:p>
    <w:p w14:paraId="6F2D1727"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capable</w:t>
      </w:r>
    </w:p>
    <w:p w14:paraId="2FDE3877"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vous sentez-vous capable de reconnaître les aliments et habitudes qui</w:t>
      </w:r>
    </w:p>
    <w:p w14:paraId="7B290C76"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favorisent</w:t>
      </w:r>
      <w:proofErr w:type="gramEnd"/>
      <w:r w:rsidRPr="0031628F">
        <w:rPr>
          <w:rFonts w:ascii="Times New Roman" w:hAnsi="Times New Roman"/>
          <w:sz w:val="22"/>
          <w:szCs w:val="22"/>
        </w:rPr>
        <w:t xml:space="preserve"> les caries ou les problèmes de gencives ?</w:t>
      </w:r>
    </w:p>
    <w:p w14:paraId="70D005E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capable</w:t>
      </w:r>
    </w:p>
    <w:p w14:paraId="777F2C2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capable</w:t>
      </w:r>
    </w:p>
    <w:p w14:paraId="64CCFDA0"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capable</w:t>
      </w:r>
    </w:p>
    <w:p w14:paraId="272AC4E9"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Capable</w:t>
      </w:r>
    </w:p>
    <w:p w14:paraId="2ED0D3B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capable</w:t>
      </w:r>
    </w:p>
    <w:p w14:paraId="1C561E38"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vous sentez-vous capable de demander conseil à un professionnel en</w:t>
      </w:r>
    </w:p>
    <w:p w14:paraId="2ED219EB"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cas</w:t>
      </w:r>
      <w:proofErr w:type="gramEnd"/>
      <w:r w:rsidRPr="0031628F">
        <w:rPr>
          <w:rFonts w:ascii="Times New Roman" w:hAnsi="Times New Roman"/>
          <w:sz w:val="22"/>
          <w:szCs w:val="22"/>
        </w:rPr>
        <w:t xml:space="preserve"> de problème bucco-dentaire ?</w:t>
      </w:r>
    </w:p>
    <w:p w14:paraId="4D392277"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capable</w:t>
      </w:r>
    </w:p>
    <w:p w14:paraId="23EBFDC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lastRenderedPageBreak/>
        <w:t>☐</w:t>
      </w:r>
      <w:r w:rsidRPr="0031628F">
        <w:rPr>
          <w:rFonts w:ascii="Times New Roman" w:hAnsi="Times New Roman"/>
          <w:sz w:val="22"/>
          <w:szCs w:val="22"/>
        </w:rPr>
        <w:t xml:space="preserve"> Peu capable</w:t>
      </w:r>
    </w:p>
    <w:p w14:paraId="2F72BCBE"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capable</w:t>
      </w:r>
    </w:p>
    <w:p w14:paraId="5FBF8084"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Capable</w:t>
      </w:r>
    </w:p>
    <w:p w14:paraId="50B22A55"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capable</w:t>
      </w:r>
    </w:p>
    <w:p w14:paraId="448699FB" w14:textId="77777777" w:rsidR="0031628F" w:rsidRDefault="0031628F" w:rsidP="0031628F">
      <w:pPr>
        <w:pStyle w:val="p1"/>
        <w:spacing w:line="276" w:lineRule="auto"/>
        <w:rPr>
          <w:rFonts w:ascii="Times New Roman" w:hAnsi="Times New Roman"/>
          <w:sz w:val="22"/>
          <w:szCs w:val="22"/>
        </w:rPr>
      </w:pPr>
    </w:p>
    <w:p w14:paraId="7CD4E890" w14:textId="77777777" w:rsidR="0031628F" w:rsidRDefault="0031628F" w:rsidP="0031628F">
      <w:pPr>
        <w:pStyle w:val="p1"/>
        <w:spacing w:line="276" w:lineRule="auto"/>
        <w:rPr>
          <w:rFonts w:ascii="Times New Roman" w:hAnsi="Times New Roman"/>
          <w:sz w:val="22"/>
          <w:szCs w:val="22"/>
        </w:rPr>
      </w:pPr>
    </w:p>
    <w:p w14:paraId="5E0EEBAC" w14:textId="3F856DDF"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3 : Comportements futurs64</w:t>
      </w:r>
    </w:p>
    <w:p w14:paraId="7D741BCB"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avez-vous l’intention de mettre en place un brossage efficace deux fois</w:t>
      </w:r>
    </w:p>
    <w:p w14:paraId="6A5B33AE"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par</w:t>
      </w:r>
      <w:proofErr w:type="gramEnd"/>
      <w:r w:rsidRPr="0031628F">
        <w:rPr>
          <w:rFonts w:ascii="Times New Roman" w:hAnsi="Times New Roman"/>
          <w:sz w:val="22"/>
          <w:szCs w:val="22"/>
        </w:rPr>
        <w:t xml:space="preserve"> jour ?</w:t>
      </w:r>
    </w:p>
    <w:p w14:paraId="47DA7A7E"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w:t>
      </w:r>
      <w:r w:rsidRPr="0031628F">
        <w:rPr>
          <w:rFonts w:ascii="Segoe UI Symbol" w:hAnsi="Segoe UI Symbol" w:cs="Segoe UI Symbol"/>
          <w:sz w:val="22"/>
          <w:szCs w:val="22"/>
        </w:rPr>
        <w:t>☐</w:t>
      </w:r>
      <w:r w:rsidRPr="0031628F">
        <w:rPr>
          <w:rFonts w:ascii="Times New Roman" w:hAnsi="Times New Roman"/>
          <w:sz w:val="22"/>
          <w:szCs w:val="22"/>
        </w:rPr>
        <w:t xml:space="preserve"> Pas du tout motivé</w:t>
      </w:r>
    </w:p>
    <w:p w14:paraId="239A1D4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motivé</w:t>
      </w:r>
    </w:p>
    <w:p w14:paraId="6A61D6A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motivé</w:t>
      </w:r>
    </w:p>
    <w:p w14:paraId="4675994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Motivé</w:t>
      </w:r>
    </w:p>
    <w:p w14:paraId="2886A20C"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motivé</w:t>
      </w:r>
    </w:p>
    <w:p w14:paraId="50036AFE"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avez-vous l’intention d’utiliser le fil dentaire ou les brossettes</w:t>
      </w:r>
    </w:p>
    <w:p w14:paraId="2E2C7ACD"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régulièrement</w:t>
      </w:r>
      <w:proofErr w:type="gramEnd"/>
      <w:r w:rsidRPr="0031628F">
        <w:rPr>
          <w:rFonts w:ascii="Times New Roman" w:hAnsi="Times New Roman"/>
          <w:sz w:val="22"/>
          <w:szCs w:val="22"/>
        </w:rPr>
        <w:t xml:space="preserve"> ?</w:t>
      </w:r>
    </w:p>
    <w:p w14:paraId="7B6FCCD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motivé</w:t>
      </w:r>
    </w:p>
    <w:p w14:paraId="0B12EB38"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motivé</w:t>
      </w:r>
    </w:p>
    <w:p w14:paraId="6FD667FB"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motivé</w:t>
      </w:r>
    </w:p>
    <w:p w14:paraId="0F600192"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Motivé</w:t>
      </w:r>
    </w:p>
    <w:p w14:paraId="7128FB67"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motivé</w:t>
      </w:r>
    </w:p>
    <w:p w14:paraId="4C41958E"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avez-vous l’intention de réduire votre consommation de sucres entre les</w:t>
      </w:r>
    </w:p>
    <w:p w14:paraId="0B133B16"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repas</w:t>
      </w:r>
      <w:proofErr w:type="gramEnd"/>
      <w:r w:rsidRPr="0031628F">
        <w:rPr>
          <w:rFonts w:ascii="Times New Roman" w:hAnsi="Times New Roman"/>
          <w:sz w:val="22"/>
          <w:szCs w:val="22"/>
        </w:rPr>
        <w:t xml:space="preserve"> ?</w:t>
      </w:r>
    </w:p>
    <w:p w14:paraId="7BCE6DF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motivé</w:t>
      </w:r>
    </w:p>
    <w:p w14:paraId="395CA42C"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motivé</w:t>
      </w:r>
    </w:p>
    <w:p w14:paraId="3212FBE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motivé</w:t>
      </w:r>
    </w:p>
    <w:p w14:paraId="1D57D266"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Motivé</w:t>
      </w:r>
    </w:p>
    <w:p w14:paraId="4D2F4CF9"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motivé</w:t>
      </w:r>
    </w:p>
    <w:p w14:paraId="2AA8D5F5"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À quel point avez-vous l’intention de participer à des ateliers ou suivis similaires à</w:t>
      </w:r>
    </w:p>
    <w:p w14:paraId="2A24E841" w14:textId="77777777" w:rsidR="0031628F" w:rsidRPr="0031628F" w:rsidRDefault="0031628F" w:rsidP="0031628F">
      <w:pPr>
        <w:pStyle w:val="p1"/>
        <w:spacing w:line="276" w:lineRule="auto"/>
        <w:rPr>
          <w:rFonts w:ascii="Times New Roman" w:hAnsi="Times New Roman"/>
          <w:sz w:val="22"/>
          <w:szCs w:val="22"/>
        </w:rPr>
      </w:pPr>
      <w:proofErr w:type="gramStart"/>
      <w:r w:rsidRPr="0031628F">
        <w:rPr>
          <w:rFonts w:ascii="Times New Roman" w:hAnsi="Times New Roman"/>
          <w:sz w:val="22"/>
          <w:szCs w:val="22"/>
        </w:rPr>
        <w:t>l’avenir</w:t>
      </w:r>
      <w:proofErr w:type="gramEnd"/>
      <w:r w:rsidRPr="0031628F">
        <w:rPr>
          <w:rFonts w:ascii="Times New Roman" w:hAnsi="Times New Roman"/>
          <w:sz w:val="22"/>
          <w:szCs w:val="22"/>
        </w:rPr>
        <w:t xml:space="preserve"> ?</w:t>
      </w:r>
    </w:p>
    <w:p w14:paraId="64EECDB1"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Pas du tout motivé</w:t>
      </w:r>
    </w:p>
    <w:p w14:paraId="3855F577"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Peu motivé</w:t>
      </w:r>
    </w:p>
    <w:p w14:paraId="54B69ADD"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Moyennement motivé</w:t>
      </w:r>
    </w:p>
    <w:p w14:paraId="7C5FF8CF"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Motivé</w:t>
      </w:r>
    </w:p>
    <w:p w14:paraId="08D905F4" w14:textId="77777777" w:rsidR="0031628F" w:rsidRPr="0031628F" w:rsidRDefault="0031628F" w:rsidP="0031628F">
      <w:pPr>
        <w:pStyle w:val="p1"/>
        <w:spacing w:line="276" w:lineRule="auto"/>
        <w:rPr>
          <w:rFonts w:ascii="Times New Roman" w:hAnsi="Times New Roman"/>
          <w:sz w:val="22"/>
          <w:szCs w:val="22"/>
        </w:rPr>
      </w:pPr>
      <w:r w:rsidRPr="0031628F">
        <w:rPr>
          <w:rFonts w:ascii="Segoe UI Symbol" w:hAnsi="Segoe UI Symbol" w:cs="Segoe UI Symbol"/>
          <w:sz w:val="22"/>
          <w:szCs w:val="22"/>
        </w:rPr>
        <w:t>☐</w:t>
      </w:r>
      <w:r w:rsidRPr="0031628F">
        <w:rPr>
          <w:rFonts w:ascii="Times New Roman" w:hAnsi="Times New Roman"/>
          <w:sz w:val="22"/>
          <w:szCs w:val="22"/>
        </w:rPr>
        <w:t xml:space="preserve"> Tout à fait motivé</w:t>
      </w:r>
    </w:p>
    <w:p w14:paraId="08C61293"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p>
    <w:p w14:paraId="31C335F8" w14:textId="77777777" w:rsidR="0031628F" w:rsidRPr="0031628F" w:rsidRDefault="0031628F" w:rsidP="0031628F">
      <w:pPr>
        <w:pStyle w:val="p1"/>
        <w:spacing w:line="276" w:lineRule="auto"/>
        <w:rPr>
          <w:rFonts w:ascii="Times New Roman" w:hAnsi="Times New Roman"/>
          <w:sz w:val="22"/>
          <w:szCs w:val="22"/>
          <w:u w:val="single"/>
        </w:rPr>
      </w:pPr>
      <w:r w:rsidRPr="0031628F">
        <w:rPr>
          <w:rFonts w:ascii="Times New Roman" w:hAnsi="Times New Roman"/>
          <w:sz w:val="22"/>
          <w:szCs w:val="22"/>
          <w:u w:val="single"/>
        </w:rPr>
        <w:t>Section 4 : Commentaires libres :</w:t>
      </w:r>
    </w:p>
    <w:p w14:paraId="28FA3726"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Qu’avez-vous le plus apprécié dans cet atelier ?</w:t>
      </w:r>
    </w:p>
    <w:p w14:paraId="22226E4B" w14:textId="77777777" w:rsidR="0031628F" w:rsidRPr="0031628F"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Quelles difficultés pensez-vous rencontrer pour appliquer ces conseils ?</w:t>
      </w:r>
    </w:p>
    <w:p w14:paraId="1DEE03A6" w14:textId="573B638C" w:rsidR="00FA0640" w:rsidRDefault="0031628F" w:rsidP="0031628F">
      <w:pPr>
        <w:pStyle w:val="p1"/>
        <w:spacing w:line="276" w:lineRule="auto"/>
        <w:rPr>
          <w:rFonts w:ascii="Times New Roman" w:hAnsi="Times New Roman"/>
          <w:sz w:val="22"/>
          <w:szCs w:val="22"/>
        </w:rPr>
      </w:pPr>
      <w:r w:rsidRPr="0031628F">
        <w:rPr>
          <w:rFonts w:ascii="Times New Roman" w:hAnsi="Times New Roman"/>
          <w:sz w:val="22"/>
          <w:szCs w:val="22"/>
        </w:rPr>
        <w:sym w:font="Symbol" w:char="F0D7"/>
      </w:r>
      <w:r w:rsidRPr="0031628F">
        <w:rPr>
          <w:rFonts w:ascii="Times New Roman" w:hAnsi="Times New Roman"/>
          <w:sz w:val="22"/>
          <w:szCs w:val="22"/>
        </w:rPr>
        <w:t xml:space="preserve"> Avez-vous des suggestions pour améliorer cet atelier ?</w:t>
      </w:r>
    </w:p>
    <w:p w14:paraId="1C66CCAD" w14:textId="77777777" w:rsidR="00FA0640" w:rsidRDefault="00FA0640">
      <w:pPr>
        <w:rPr>
          <w:rFonts w:ascii="Times New Roman" w:eastAsia="Times New Roman" w:hAnsi="Times New Roman" w:cs="Times New Roman"/>
          <w:color w:val="000000"/>
          <w:kern w:val="0"/>
          <w:sz w:val="22"/>
          <w:szCs w:val="22"/>
          <w:lang w:eastAsia="fr-FR"/>
          <w14:ligatures w14:val="none"/>
        </w:rPr>
      </w:pPr>
      <w:r>
        <w:rPr>
          <w:rFonts w:ascii="Times New Roman" w:hAnsi="Times New Roman"/>
          <w:sz w:val="22"/>
          <w:szCs w:val="22"/>
        </w:rPr>
        <w:br w:type="page"/>
      </w:r>
    </w:p>
    <w:p w14:paraId="3E7CDD1C" w14:textId="1A0E0400" w:rsidR="0031628F" w:rsidRPr="0031628F" w:rsidRDefault="00FA0640" w:rsidP="0031628F">
      <w:pPr>
        <w:pStyle w:val="p1"/>
        <w:spacing w:line="276" w:lineRule="auto"/>
        <w:rPr>
          <w:rFonts w:ascii="Times New Roman" w:hAnsi="Times New Roman"/>
          <w:sz w:val="22"/>
          <w:szCs w:val="22"/>
        </w:rPr>
      </w:pPr>
      <w:r>
        <w:rPr>
          <w:rFonts w:ascii="Times New Roman" w:hAnsi="Times New Roman"/>
          <w:noProof/>
          <w:sz w:val="22"/>
          <w:szCs w:val="22"/>
          <w14:ligatures w14:val="standardContextual"/>
        </w:rPr>
        <w:lastRenderedPageBreak/>
        <w:drawing>
          <wp:inline distT="0" distB="0" distL="0" distR="0" wp14:anchorId="26BC20BC" wp14:editId="3B86E817">
            <wp:extent cx="5760720" cy="5434330"/>
            <wp:effectExtent l="0" t="0" r="5080" b="1270"/>
            <wp:docPr id="8214504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50435" name="Image 821450435"/>
                    <pic:cNvPicPr/>
                  </pic:nvPicPr>
                  <pic:blipFill>
                    <a:blip r:embed="rId5">
                      <a:extLst>
                        <a:ext uri="{28A0092B-C50C-407E-A947-70E740481C1C}">
                          <a14:useLocalDpi xmlns:a14="http://schemas.microsoft.com/office/drawing/2010/main" val="0"/>
                        </a:ext>
                      </a:extLst>
                    </a:blip>
                    <a:stretch>
                      <a:fillRect/>
                    </a:stretch>
                  </pic:blipFill>
                  <pic:spPr>
                    <a:xfrm>
                      <a:off x="0" y="0"/>
                      <a:ext cx="5760720" cy="5434330"/>
                    </a:xfrm>
                    <a:prstGeom prst="rect">
                      <a:avLst/>
                    </a:prstGeom>
                  </pic:spPr>
                </pic:pic>
              </a:graphicData>
            </a:graphic>
          </wp:inline>
        </w:drawing>
      </w:r>
    </w:p>
    <w:p w14:paraId="62EFAE90" w14:textId="77777777" w:rsidR="0031628F" w:rsidRPr="0031628F" w:rsidRDefault="0031628F">
      <w:pPr>
        <w:rPr>
          <w:rFonts w:ascii="Times New Roman" w:hAnsi="Times New Roman" w:cs="Times New Roman"/>
          <w:sz w:val="22"/>
          <w:szCs w:val="22"/>
        </w:rPr>
      </w:pPr>
    </w:p>
    <w:sectPr w:rsidR="0031628F" w:rsidRPr="00316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0D0B32"/>
    <w:multiLevelType w:val="multilevel"/>
    <w:tmpl w:val="5654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51A99"/>
    <w:multiLevelType w:val="multilevel"/>
    <w:tmpl w:val="128E29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E671C"/>
    <w:multiLevelType w:val="multilevel"/>
    <w:tmpl w:val="DC90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188384">
    <w:abstractNumId w:val="2"/>
  </w:num>
  <w:num w:numId="2" w16cid:durableId="83262062">
    <w:abstractNumId w:val="0"/>
  </w:num>
  <w:num w:numId="3" w16cid:durableId="16905280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0D"/>
    <w:rsid w:val="0031628F"/>
    <w:rsid w:val="0085740D"/>
    <w:rsid w:val="00894888"/>
    <w:rsid w:val="00FA06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87F0927"/>
  <w15:chartTrackingRefBased/>
  <w15:docId w15:val="{B7563505-F40F-C842-B235-733D054A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7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57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5740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85740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5740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5740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740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740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740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740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5740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5740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85740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5740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5740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740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740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740D"/>
    <w:rPr>
      <w:rFonts w:eastAsiaTheme="majorEastAsia" w:cstheme="majorBidi"/>
      <w:color w:val="272727" w:themeColor="text1" w:themeTint="D8"/>
    </w:rPr>
  </w:style>
  <w:style w:type="paragraph" w:styleId="Titre">
    <w:name w:val="Title"/>
    <w:basedOn w:val="Normal"/>
    <w:next w:val="Normal"/>
    <w:link w:val="TitreCar"/>
    <w:uiPriority w:val="10"/>
    <w:qFormat/>
    <w:rsid w:val="00857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740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740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740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740D"/>
    <w:pPr>
      <w:spacing w:before="160"/>
      <w:jc w:val="center"/>
    </w:pPr>
    <w:rPr>
      <w:i/>
      <w:iCs/>
      <w:color w:val="404040" w:themeColor="text1" w:themeTint="BF"/>
    </w:rPr>
  </w:style>
  <w:style w:type="character" w:customStyle="1" w:styleId="CitationCar">
    <w:name w:val="Citation Car"/>
    <w:basedOn w:val="Policepardfaut"/>
    <w:link w:val="Citation"/>
    <w:uiPriority w:val="29"/>
    <w:rsid w:val="0085740D"/>
    <w:rPr>
      <w:i/>
      <w:iCs/>
      <w:color w:val="404040" w:themeColor="text1" w:themeTint="BF"/>
    </w:rPr>
  </w:style>
  <w:style w:type="paragraph" w:styleId="Paragraphedeliste">
    <w:name w:val="List Paragraph"/>
    <w:basedOn w:val="Normal"/>
    <w:uiPriority w:val="34"/>
    <w:qFormat/>
    <w:rsid w:val="0085740D"/>
    <w:pPr>
      <w:ind w:left="720"/>
      <w:contextualSpacing/>
    </w:pPr>
  </w:style>
  <w:style w:type="character" w:styleId="Accentuationintense">
    <w:name w:val="Intense Emphasis"/>
    <w:basedOn w:val="Policepardfaut"/>
    <w:uiPriority w:val="21"/>
    <w:qFormat/>
    <w:rsid w:val="0085740D"/>
    <w:rPr>
      <w:i/>
      <w:iCs/>
      <w:color w:val="0F4761" w:themeColor="accent1" w:themeShade="BF"/>
    </w:rPr>
  </w:style>
  <w:style w:type="paragraph" w:styleId="Citationintense">
    <w:name w:val="Intense Quote"/>
    <w:basedOn w:val="Normal"/>
    <w:next w:val="Normal"/>
    <w:link w:val="CitationintenseCar"/>
    <w:uiPriority w:val="30"/>
    <w:qFormat/>
    <w:rsid w:val="00857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5740D"/>
    <w:rPr>
      <w:i/>
      <w:iCs/>
      <w:color w:val="0F4761" w:themeColor="accent1" w:themeShade="BF"/>
    </w:rPr>
  </w:style>
  <w:style w:type="character" w:styleId="Rfrenceintense">
    <w:name w:val="Intense Reference"/>
    <w:basedOn w:val="Policepardfaut"/>
    <w:uiPriority w:val="32"/>
    <w:qFormat/>
    <w:rsid w:val="0085740D"/>
    <w:rPr>
      <w:b/>
      <w:bCs/>
      <w:smallCaps/>
      <w:color w:val="0F4761" w:themeColor="accent1" w:themeShade="BF"/>
      <w:spacing w:val="5"/>
    </w:rPr>
  </w:style>
  <w:style w:type="paragraph" w:styleId="NormalWeb">
    <w:name w:val="Normal (Web)"/>
    <w:basedOn w:val="Normal"/>
    <w:uiPriority w:val="99"/>
    <w:semiHidden/>
    <w:unhideWhenUsed/>
    <w:rsid w:val="0085740D"/>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85740D"/>
  </w:style>
  <w:style w:type="paragraph" w:customStyle="1" w:styleId="p1">
    <w:name w:val="p1"/>
    <w:basedOn w:val="Normal"/>
    <w:rsid w:val="0031628F"/>
    <w:pPr>
      <w:spacing w:after="0" w:line="240" w:lineRule="auto"/>
    </w:pPr>
    <w:rPr>
      <w:rFonts w:ascii="Helvetica" w:eastAsia="Times New Roman" w:hAnsi="Helvetica" w:cs="Times New Roman"/>
      <w:color w:val="000000"/>
      <w:kern w:val="0"/>
      <w:sz w:val="17"/>
      <w:szCs w:val="17"/>
      <w:lang w:eastAsia="fr-FR"/>
      <w14:ligatures w14:val="none"/>
    </w:rPr>
  </w:style>
  <w:style w:type="character" w:customStyle="1" w:styleId="s1">
    <w:name w:val="s1"/>
    <w:basedOn w:val="Policepardfaut"/>
    <w:rsid w:val="0031628F"/>
    <w:rPr>
      <w:rFonts w:ascii="Helvetica" w:hAnsi="Helvetica"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1212</Words>
  <Characters>6669</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INQUIMBERT CAMILLE</dc:creator>
  <cp:keywords/>
  <dc:description/>
  <cp:lastModifiedBy>INQUIMBERT CAMILLE</cp:lastModifiedBy>
  <cp:revision>3</cp:revision>
  <dcterms:created xsi:type="dcterms:W3CDTF">2026-09-07T20:50:00Z</dcterms:created>
  <dcterms:modified xsi:type="dcterms:W3CDTF">2026-09-07T21:10:00Z</dcterms:modified>
</cp:coreProperties>
</file>