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5277B" w14:textId="77777777" w:rsidR="00897EE7" w:rsidRPr="00897EE7" w:rsidRDefault="00897EE7" w:rsidP="00897EE7">
      <w:pPr>
        <w:spacing w:after="0" w:line="240" w:lineRule="auto"/>
        <w:rPr>
          <w:rFonts w:cs="Calibri"/>
          <w:sz w:val="20"/>
          <w:szCs w:val="20"/>
        </w:rPr>
      </w:pPr>
    </w:p>
    <w:p w14:paraId="6DC88DD2" w14:textId="77777777" w:rsidR="00C315CC" w:rsidRDefault="00C315CC" w:rsidP="00C315CC">
      <w:pPr>
        <w:pStyle w:val="Corpsdetexte"/>
        <w:spacing w:before="56"/>
        <w:ind w:left="136"/>
      </w:pPr>
      <w:r>
        <w:rPr>
          <w:b/>
        </w:rPr>
        <w:t>Monsieur U</w:t>
      </w:r>
      <w:r>
        <w:t>, né en 1944 a été hospitalisé pour bilan d’une hypertension artérielle résistante.</w:t>
      </w:r>
    </w:p>
    <w:p w14:paraId="41F5A01C" w14:textId="77777777" w:rsidR="00C315CC" w:rsidRDefault="00C315CC" w:rsidP="00C315CC">
      <w:pPr>
        <w:pStyle w:val="Corpsdetexte"/>
        <w:spacing w:before="3"/>
      </w:pPr>
    </w:p>
    <w:p w14:paraId="070C1E87" w14:textId="77777777" w:rsidR="00C315CC" w:rsidRDefault="00C315CC" w:rsidP="00C315CC">
      <w:pPr>
        <w:pStyle w:val="Corpsdetexte"/>
        <w:spacing w:line="237" w:lineRule="auto"/>
        <w:ind w:left="136" w:right="142"/>
        <w:jc w:val="both"/>
      </w:pPr>
      <w:r>
        <w:t>Il n’a pas d’antécédent majeur et ses facteurs de risques cardiovasculaires sont un tabagisme, une hyper-cholestérolémie, un surpoids et son âge.</w:t>
      </w:r>
    </w:p>
    <w:p w14:paraId="76FBD80A" w14:textId="77777777" w:rsidR="00C315CC" w:rsidRDefault="00C315CC" w:rsidP="00C315CC">
      <w:pPr>
        <w:pStyle w:val="Corpsdetexte"/>
        <w:spacing w:before="1"/>
      </w:pPr>
    </w:p>
    <w:p w14:paraId="369BDDE9" w14:textId="77777777" w:rsidR="00C315CC" w:rsidRDefault="00C315CC" w:rsidP="00C315CC">
      <w:pPr>
        <w:pStyle w:val="Corpsdetexte"/>
        <w:ind w:left="136" w:right="141"/>
        <w:jc w:val="both"/>
      </w:pPr>
      <w:r>
        <w:t>Il est hypertendu de longue date et malgré une trithérapie comprenant Altéisduo et Nebivolol, il conserve une pression artérielle moyenne enregistrée en MAPA sur 24 heures à 160 mmHg en systole et 96 en diastole. Il est donc convoqué pour faire le point sur cette hypertension artérielle.</w:t>
      </w:r>
    </w:p>
    <w:p w14:paraId="149D0B3D" w14:textId="77777777" w:rsidR="00C315CC" w:rsidRDefault="00C315CC" w:rsidP="00C315CC">
      <w:pPr>
        <w:pStyle w:val="Corpsdetexte"/>
        <w:spacing w:before="1"/>
      </w:pPr>
    </w:p>
    <w:p w14:paraId="67C4E399" w14:textId="77777777" w:rsidR="00C315CC" w:rsidRDefault="00C315CC" w:rsidP="00C315CC">
      <w:pPr>
        <w:pStyle w:val="Corpsdetexte"/>
        <w:ind w:left="136" w:right="145"/>
        <w:jc w:val="both"/>
      </w:pPr>
      <w:r>
        <w:t>L’examen clinique à l’arrivée dans le service est sans particularité, notamment pas de signe d’insuffisance cardiaque. Il n’y a pas de souffle sur les trajets</w:t>
      </w:r>
      <w:r>
        <w:rPr>
          <w:spacing w:val="-10"/>
        </w:rPr>
        <w:t xml:space="preserve"> </w:t>
      </w:r>
      <w:r>
        <w:t>vasculaires.</w:t>
      </w:r>
    </w:p>
    <w:p w14:paraId="075C4684" w14:textId="77777777" w:rsidR="00C315CC" w:rsidRDefault="00C315CC" w:rsidP="00C315CC">
      <w:pPr>
        <w:pStyle w:val="Corpsdetexte"/>
        <w:spacing w:before="4"/>
      </w:pPr>
    </w:p>
    <w:p w14:paraId="7A09F8F0" w14:textId="77777777" w:rsidR="00C315CC" w:rsidRDefault="00C315CC" w:rsidP="00C315CC">
      <w:pPr>
        <w:pStyle w:val="Corpsdetexte"/>
        <w:spacing w:line="237" w:lineRule="auto"/>
        <w:ind w:left="136" w:right="147"/>
        <w:jc w:val="both"/>
      </w:pPr>
      <w:r>
        <w:t>L’électrocardiogramme retrouve un rythme régulier sinusal à QRS fins à 95/minute, sans trouble majeur de la repolarisation.</w:t>
      </w:r>
    </w:p>
    <w:p w14:paraId="6B9FF7DC" w14:textId="77777777" w:rsidR="00C315CC" w:rsidRDefault="00C315CC" w:rsidP="00C315CC">
      <w:pPr>
        <w:pStyle w:val="Corpsdetexte"/>
        <w:spacing w:before="1"/>
      </w:pPr>
    </w:p>
    <w:p w14:paraId="72F4A9AE" w14:textId="77777777" w:rsidR="00C315CC" w:rsidRDefault="00C315CC" w:rsidP="00C315CC">
      <w:pPr>
        <w:pStyle w:val="Corpsdetexte"/>
        <w:ind w:left="136"/>
      </w:pPr>
      <w:r>
        <w:t>Le bilan réalisé dans le service a donc compris :</w:t>
      </w:r>
    </w:p>
    <w:p w14:paraId="2F1E74AB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left="419" w:right="142" w:hanging="283"/>
        <w:jc w:val="both"/>
      </w:pPr>
      <w:r>
        <w:rPr>
          <w:i/>
        </w:rPr>
        <w:t xml:space="preserve">une échographie cardiaque </w:t>
      </w:r>
      <w:r>
        <w:t>: ventricule gauche de taille et de cinétique normales (DTDVG 50 mm, septum 11-12 mm) ; la FEVG est à 65 % ; le remplissage ventriculaire gauche est de type trouble de la relaxation avec des pressions gauches basses. Il n’y a pas de valvulopathie micro-aortique. L’oreillette gauche est mesurée à 20 cm². Les cavités droites sont normales, sans HTAP. Le péricarde est sec</w:t>
      </w:r>
      <w:r>
        <w:rPr>
          <w:spacing w:val="-24"/>
        </w:rPr>
        <w:t xml:space="preserve"> </w:t>
      </w:r>
      <w:r>
        <w:t>;</w:t>
      </w:r>
    </w:p>
    <w:p w14:paraId="3E6E92B9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spacing w:before="3" w:line="237" w:lineRule="auto"/>
        <w:ind w:left="419" w:right="145" w:hanging="283"/>
        <w:jc w:val="both"/>
      </w:pPr>
      <w:r>
        <w:rPr>
          <w:i/>
        </w:rPr>
        <w:t xml:space="preserve">un doppler des troncs supra-aortiques </w:t>
      </w:r>
      <w:r>
        <w:t>: athérome très modéré sans sténose hémodynamiquement significative</w:t>
      </w:r>
      <w:r>
        <w:rPr>
          <w:spacing w:val="-3"/>
        </w:rPr>
        <w:t xml:space="preserve"> </w:t>
      </w:r>
      <w:r>
        <w:t>;</w:t>
      </w:r>
    </w:p>
    <w:p w14:paraId="32FF8B70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spacing w:before="2"/>
        <w:ind w:firstLine="0"/>
      </w:pPr>
      <w:r>
        <w:rPr>
          <w:i/>
        </w:rPr>
        <w:t xml:space="preserve">un doppler des artères rénales </w:t>
      </w:r>
      <w:r>
        <w:t>: pas de sténose significative</w:t>
      </w:r>
      <w:r>
        <w:rPr>
          <w:spacing w:val="-12"/>
        </w:rPr>
        <w:t xml:space="preserve"> </w:t>
      </w:r>
      <w:r>
        <w:t>;</w:t>
      </w:r>
    </w:p>
    <w:p w14:paraId="1095256D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left="419" w:right="145" w:hanging="283"/>
        <w:jc w:val="both"/>
      </w:pPr>
      <w:r>
        <w:rPr>
          <w:i/>
        </w:rPr>
        <w:t xml:space="preserve">un angio scanner abdomino-pelvien </w:t>
      </w:r>
      <w:r>
        <w:t>: confirmation de l’absence de sténose des artères rénales. Les surrénales sont fines. Le reste de l’examen est normal</w:t>
      </w:r>
      <w:r>
        <w:rPr>
          <w:spacing w:val="-5"/>
        </w:rPr>
        <w:t xml:space="preserve"> </w:t>
      </w:r>
      <w:r>
        <w:t>;</w:t>
      </w:r>
    </w:p>
    <w:p w14:paraId="44C982FD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left="419" w:right="143" w:hanging="283"/>
        <w:jc w:val="both"/>
      </w:pPr>
      <w:r>
        <w:rPr>
          <w:i/>
        </w:rPr>
        <w:t xml:space="preserve">une épreuve d’effort simple </w:t>
      </w:r>
      <w:r>
        <w:t>: supra-maximale jusqu’à 164/minute avec  une  charge  maximale de  140 watts. On retrouve une hypertension artérielle systolo-diastolique au repos comme à l’effort (260/130 mmHg). Il n’y a pas de trouble du rythme ou de conduction et l’épreuve d’effort est négative pour la recherche d’ischémie</w:t>
      </w:r>
      <w:r>
        <w:rPr>
          <w:spacing w:val="-7"/>
        </w:rPr>
        <w:t xml:space="preserve"> </w:t>
      </w:r>
      <w:r>
        <w:t>;</w:t>
      </w:r>
    </w:p>
    <w:p w14:paraId="01B30D30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ind w:left="419" w:right="146" w:hanging="283"/>
        <w:jc w:val="both"/>
      </w:pPr>
      <w:r>
        <w:rPr>
          <w:i/>
        </w:rPr>
        <w:t xml:space="preserve">un enregistrement oxymétrique nocturne </w:t>
      </w:r>
      <w:r>
        <w:t>: saturation moyenne à 95 % avec de rares épisodes de désaturation qui ne plaide pas en faveur d’un syndrome d’apnée du</w:t>
      </w:r>
      <w:r>
        <w:rPr>
          <w:spacing w:val="-9"/>
        </w:rPr>
        <w:t xml:space="preserve"> </w:t>
      </w:r>
      <w:r>
        <w:t>sommeil.</w:t>
      </w:r>
    </w:p>
    <w:p w14:paraId="4D0DA5C8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ind w:left="419" w:right="141" w:hanging="283"/>
        <w:jc w:val="both"/>
      </w:pPr>
      <w:r>
        <w:rPr>
          <w:i/>
        </w:rPr>
        <w:t xml:space="preserve">un bilan biologique </w:t>
      </w:r>
      <w:r>
        <w:t>: kaliémie à 3.</w:t>
      </w:r>
      <w:r w:rsidR="00EC67BB">
        <w:t>4</w:t>
      </w:r>
      <w:r>
        <w:t xml:space="preserve"> </w:t>
      </w:r>
      <w:proofErr w:type="spellStart"/>
      <w:r>
        <w:t>mmol</w:t>
      </w:r>
      <w:proofErr w:type="spellEnd"/>
      <w:r>
        <w:t>/L, natrémie normale, créatinine à 83 µmol/l. Le bilan lipidique</w:t>
      </w:r>
      <w:r>
        <w:rPr>
          <w:spacing w:val="20"/>
        </w:rPr>
        <w:t xml:space="preserve"> </w:t>
      </w:r>
      <w:r>
        <w:t>retrouve</w:t>
      </w:r>
      <w:r>
        <w:rPr>
          <w:spacing w:val="20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t>LDL</w:t>
      </w:r>
      <w:r>
        <w:rPr>
          <w:spacing w:val="18"/>
        </w:rPr>
        <w:t xml:space="preserve"> </w:t>
      </w:r>
      <w:r>
        <w:t>cholestérol</w:t>
      </w:r>
      <w:r>
        <w:rPr>
          <w:spacing w:val="20"/>
        </w:rPr>
        <w:t xml:space="preserve"> </w:t>
      </w:r>
      <w:r>
        <w:t>à</w:t>
      </w:r>
      <w:r>
        <w:rPr>
          <w:spacing w:val="20"/>
        </w:rPr>
        <w:t xml:space="preserve"> </w:t>
      </w:r>
      <w:r>
        <w:t>1.45</w:t>
      </w:r>
      <w:r>
        <w:rPr>
          <w:spacing w:val="21"/>
        </w:rPr>
        <w:t xml:space="preserve"> </w:t>
      </w:r>
      <w:r>
        <w:t>g/L,</w:t>
      </w:r>
      <w:r>
        <w:rPr>
          <w:spacing w:val="20"/>
        </w:rPr>
        <w:t xml:space="preserve"> </w:t>
      </w:r>
      <w:r>
        <w:t>HDL</w:t>
      </w:r>
      <w:r>
        <w:rPr>
          <w:spacing w:val="20"/>
        </w:rPr>
        <w:t xml:space="preserve"> </w:t>
      </w:r>
      <w:r>
        <w:t>0.41</w:t>
      </w:r>
      <w:r>
        <w:rPr>
          <w:spacing w:val="20"/>
        </w:rPr>
        <w:t xml:space="preserve"> </w:t>
      </w:r>
      <w:r>
        <w:t>g/L,</w:t>
      </w:r>
      <w:r>
        <w:rPr>
          <w:spacing w:val="20"/>
        </w:rPr>
        <w:t xml:space="preserve"> </w:t>
      </w:r>
      <w:r>
        <w:t>triglycérides</w:t>
      </w:r>
      <w:r>
        <w:rPr>
          <w:spacing w:val="20"/>
        </w:rPr>
        <w:t xml:space="preserve"> </w:t>
      </w:r>
      <w:r>
        <w:t>2</w:t>
      </w:r>
      <w:r>
        <w:rPr>
          <w:spacing w:val="20"/>
        </w:rPr>
        <w:t xml:space="preserve"> </w:t>
      </w:r>
      <w:r>
        <w:t>g/L,</w:t>
      </w:r>
      <w:r>
        <w:rPr>
          <w:spacing w:val="20"/>
        </w:rPr>
        <w:t xml:space="preserve"> </w:t>
      </w:r>
      <w:r>
        <w:t>cholestérol</w:t>
      </w:r>
      <w:r>
        <w:rPr>
          <w:spacing w:val="20"/>
        </w:rPr>
        <w:t xml:space="preserve"> </w:t>
      </w:r>
      <w:r>
        <w:t>total</w:t>
      </w:r>
    </w:p>
    <w:p w14:paraId="1F9DBE1B" w14:textId="77777777" w:rsidR="00C315CC" w:rsidRDefault="00C315CC" w:rsidP="00C315CC">
      <w:pPr>
        <w:pStyle w:val="Corpsdetexte"/>
        <w:spacing w:line="268" w:lineRule="exact"/>
        <w:ind w:left="419"/>
      </w:pPr>
      <w:r>
        <w:t>2.27 g/L. L’albumine est à 48 g/L. L’hémoglobine glyquée est à 6.1 %. La TSH est normale à 1.41 ;</w:t>
      </w:r>
    </w:p>
    <w:p w14:paraId="0192D121" w14:textId="77777777" w:rsidR="00C315CC" w:rsidRDefault="00C315CC" w:rsidP="00C315CC">
      <w:pPr>
        <w:pStyle w:val="Paragraphedeliste"/>
        <w:numPr>
          <w:ilvl w:val="0"/>
          <w:numId w:val="5"/>
        </w:numPr>
        <w:tabs>
          <w:tab w:val="left" w:pos="420"/>
        </w:tabs>
        <w:ind w:left="419" w:right="142" w:hanging="283"/>
        <w:jc w:val="both"/>
      </w:pPr>
      <w:r>
        <w:rPr>
          <w:i/>
        </w:rPr>
        <w:t xml:space="preserve">un bilan hormonal </w:t>
      </w:r>
      <w:r>
        <w:t>: qui est en faveur d’un hyper-aldostéronisme primaire avec un rapport aldostérone/rénine supérieur à 20. Le ionogramme sanguin va également dans ce sens avec hypokaliémie à 3.</w:t>
      </w:r>
      <w:r w:rsidR="00EC67BB">
        <w:t>4</w:t>
      </w:r>
      <w:r>
        <w:t xml:space="preserve"> </w:t>
      </w:r>
      <w:proofErr w:type="spellStart"/>
      <w:r>
        <w:t>mmol</w:t>
      </w:r>
      <w:proofErr w:type="spellEnd"/>
      <w:r>
        <w:t>/L. Le dosage de cortisol est</w:t>
      </w:r>
      <w:r>
        <w:rPr>
          <w:spacing w:val="-6"/>
        </w:rPr>
        <w:t xml:space="preserve"> </w:t>
      </w:r>
      <w:r>
        <w:t>normal.</w:t>
      </w:r>
    </w:p>
    <w:p w14:paraId="786D7EC1" w14:textId="77777777" w:rsidR="00C315CC" w:rsidRDefault="00C315CC" w:rsidP="00C315CC">
      <w:pPr>
        <w:pStyle w:val="Corpsdetexte"/>
      </w:pPr>
    </w:p>
    <w:p w14:paraId="1BA4B2EB" w14:textId="77777777" w:rsidR="00C315CC" w:rsidRDefault="00C315CC" w:rsidP="00C315CC">
      <w:pPr>
        <w:pStyle w:val="Titre2"/>
        <w:ind w:right="144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7B9DDC" wp14:editId="3463C435">
                <wp:simplePos x="0" y="0"/>
                <wp:positionH relativeFrom="page">
                  <wp:posOffset>4432935</wp:posOffset>
                </wp:positionH>
                <wp:positionV relativeFrom="paragraph">
                  <wp:posOffset>97790</wp:posOffset>
                </wp:positionV>
                <wp:extent cx="38100" cy="12065"/>
                <wp:effectExtent l="3810" t="0" r="0" b="6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20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146780" id="Rectangle 7" o:spid="_x0000_s1026" style="position:absolute;margin-left:349.05pt;margin-top:7.7pt;width:3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zregIAAPgEAAAOAAAAZHJzL2Uyb0RvYy54bWysVNuO0zAQfUfiHyy/d3MhvSTadLUXgpAW&#10;WLHwAa7tNBaObWy36S7i3xk7bWmBB4Tog+vJjI/PzJzx5dWul2jLrRNa1Ti7SDHiimom1LrGnz81&#10;kwVGzhPFiNSK1/iJO3y1fPnicjAVz3WnJeMWAYhy1WBq3HlvqiRxtOM9cRfacAXOVtueeDDtOmGW&#10;DIDeyyRP01kyaMuM1ZQ7B1/vRideRvy25dR/aFvHPZI1Bm4+rjauq7Amy0tSrS0xnaB7GuQfWPRE&#10;KLj0CHVHPEEbK36D6gW12unWX1DdJ7ptBeUxB8gmS3/J5rEjhsdcoDjOHMvk/h8sfb99sEiwGs8x&#10;UqSHFn2EohG1lhzNQ3kG4yqIejQPNiTozL2mXxxS+raDKH5trR46ThiQykJ8cnYgGA6OotXwTjNA&#10;JxuvY6V2re0DINQA7WJDno4N4TuPKHx8tchS6BoFT5ans2nEJ9XhqLHOv+G6R2FTYwvEIzTZ3jsf&#10;qJDqEBKpaylYI6SMhl2vbqVFWwLKaJoUfnt0dxomVQhWOhwbEccvwBDuCL7ANXb6W5nlRXqTl5Nm&#10;tphPiqaYTsp5upikWXlTztKiLO6a74FgVlSdYIyre6H4QXVZ8Xdd3et/1EvUHRpqXE7zacz9jL07&#10;TTKk+Ocke+FhCKXoa7w4BpEqdPW1YpA2qTwRctwn5/RjlaEGh/9YlaiB0PZRPivNnkACVkOToJ3w&#10;XMCm0/YZowFGr8bu64ZYjpF8q0BGZVYUYVajUUznORj21LM69RBFAarGHqNxe+vH+d4YK9Yd3JTF&#10;wih9DdJrRRRGkOXIai9YGK+Ywf4pCPN7aseonw/W8gcAAAD//wMAUEsDBBQABgAIAAAAIQAC2wCd&#10;3AAAAAkBAAAPAAAAZHJzL2Rvd25yZXYueG1sTI/BTsMwEETvSPyDtUjcqFMITUnjVBUSH9DQA9wc&#10;e0mixusodtOEr2c5wXFnRjNvi/3sejHhGDpPCtarBASS8bajRsHp/e1hCyJETVb3nlDBggH25e1N&#10;oXPrr3TEqYqN4BIKuVbQxjjkUgbTotNh5Qck9r786HTkc2ykHfWVy10vH5NkI53uiBdaPeBri+Zc&#10;XZyCz+zUH033fWiWj9TwyFJX06LU/d182IGIOMe/MPziMzqUzFT7C9kgegWbl+2ao2w8pyA4kCUp&#10;CzUL2RPIspD/Pyh/AAAA//8DAFBLAQItABQABgAIAAAAIQC2gziS/gAAAOEBAAATAAAAAAAAAAAA&#10;AAAAAAAAAABbQ29udGVudF9UeXBlc10ueG1sUEsBAi0AFAAGAAgAAAAhADj9If/WAAAAlAEAAAsA&#10;AAAAAAAAAAAAAAAALwEAAF9yZWxzLy5yZWxzUEsBAi0AFAAGAAgAAAAhAATELOt6AgAA+AQAAA4A&#10;AAAAAAAAAAAAAAAALgIAAGRycy9lMm9Eb2MueG1sUEsBAi0AFAAGAAgAAAAhAALbAJ3cAAAACQEA&#10;AA8AAAAAAAAAAAAAAAAA1AQAAGRycy9kb3ducmV2LnhtbFBLBQYAAAAABAAEAPMAAADdBQAAAAA=&#10;" fillcolor="red" stroked="f">
                <w10:wrap anchorx="page"/>
              </v:rect>
            </w:pict>
          </mc:Fallback>
        </mc:AlternateContent>
      </w:r>
      <w:r>
        <w:t>Au total, après discussion avec les endocrinologues, il s’agit d’un hyper-aldostéronisme primaire sur hyperplasie bilatérale des surrénales sans traduction radiologique.</w:t>
      </w:r>
    </w:p>
    <w:p w14:paraId="1870A9AE" w14:textId="77777777" w:rsidR="00C315CC" w:rsidRDefault="00C315CC" w:rsidP="00C315CC">
      <w:pPr>
        <w:pStyle w:val="Corpsdetexte"/>
        <w:spacing w:before="1"/>
        <w:rPr>
          <w:b/>
        </w:rPr>
      </w:pPr>
    </w:p>
    <w:p w14:paraId="352A368D" w14:textId="77777777" w:rsidR="008637A3" w:rsidRPr="008637A3" w:rsidRDefault="00C315CC" w:rsidP="000F6A66">
      <w:pPr>
        <w:ind w:left="136" w:right="146"/>
        <w:jc w:val="both"/>
        <w:rPr>
          <w:rFonts w:cs="Calibri"/>
          <w:sz w:val="32"/>
          <w:szCs w:val="32"/>
        </w:rPr>
      </w:pPr>
      <w:r>
        <w:rPr>
          <w:b/>
        </w:rPr>
        <w:t>Il y a donc une indication à un traitement par INSPRA à débuter à 50 mg/j, que l’on va préférer à l’ALDACTONE pour éviter les effets secondaires de type gynécomastie, baisse de libido et troubles de l’érection.</w:t>
      </w:r>
    </w:p>
    <w:sectPr w:rsidR="008637A3" w:rsidRPr="00863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9B2AC" w14:textId="77777777" w:rsidR="00107168" w:rsidRDefault="00107168" w:rsidP="00C35B2B">
      <w:pPr>
        <w:spacing w:after="0" w:line="240" w:lineRule="auto"/>
      </w:pPr>
      <w:r>
        <w:separator/>
      </w:r>
    </w:p>
  </w:endnote>
  <w:endnote w:type="continuationSeparator" w:id="0">
    <w:p w14:paraId="53D4708E" w14:textId="77777777" w:rsidR="00107168" w:rsidRDefault="00107168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4963A" w14:textId="77777777" w:rsidR="00DF2ED2" w:rsidRDefault="00DF2E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EAC97" w14:textId="77777777" w:rsidR="00DF2ED2" w:rsidRDefault="00DF2ED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096C7" w14:textId="77777777" w:rsidR="00DF2ED2" w:rsidRDefault="00DF2E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424B0" w14:textId="77777777" w:rsidR="00107168" w:rsidRDefault="00107168" w:rsidP="00C35B2B">
      <w:pPr>
        <w:spacing w:after="0" w:line="240" w:lineRule="auto"/>
      </w:pPr>
      <w:r>
        <w:separator/>
      </w:r>
    </w:p>
  </w:footnote>
  <w:footnote w:type="continuationSeparator" w:id="0">
    <w:p w14:paraId="3F26E9D4" w14:textId="77777777" w:rsidR="00107168" w:rsidRDefault="00107168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FCC8" w14:textId="77777777" w:rsidR="00DF2ED2" w:rsidRDefault="00DF2E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1"/>
      <w:gridCol w:w="5406"/>
      <w:gridCol w:w="1295"/>
    </w:tblGrid>
    <w:tr w:rsidR="00C35B2B" w14:paraId="6789DEA4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8F14011" w14:textId="2A86A540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A33ADCF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</w:t>
          </w:r>
          <w:r w:rsidR="00DF2ED2">
            <w:rPr>
              <w:b/>
            </w:rPr>
            <w:t>021-2022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B9FABA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458FDEE7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F2F2ED8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024D23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FA12EDE" w14:textId="77777777" w:rsidR="007A3296" w:rsidRPr="00C315CC" w:rsidRDefault="00333B47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FF0000"/>
            </w:rPr>
          </w:pPr>
          <w:r>
            <w:rPr>
              <w:b/>
              <w:color w:val="FF0000"/>
            </w:rPr>
            <w:t xml:space="preserve">ENDOC </w:t>
          </w:r>
          <w:r w:rsidR="00C315CC">
            <w:rPr>
              <w:b/>
              <w:color w:val="FF0000"/>
            </w:rPr>
            <w:t>3</w:t>
          </w:r>
        </w:p>
      </w:tc>
    </w:tr>
  </w:tbl>
  <w:p w14:paraId="3B671F1B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E632C" w14:textId="77777777" w:rsidR="00DF2ED2" w:rsidRDefault="00DF2E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1A53F1"/>
    <w:multiLevelType w:val="hybridMultilevel"/>
    <w:tmpl w:val="2F02D6E0"/>
    <w:lvl w:ilvl="0" w:tplc="0666F614">
      <w:numFmt w:val="bullet"/>
      <w:lvlText w:val=""/>
      <w:lvlJc w:val="left"/>
      <w:pPr>
        <w:ind w:left="13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0DF4C5EC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A3EE5BAC">
      <w:numFmt w:val="bullet"/>
      <w:lvlText w:val="•"/>
      <w:lvlJc w:val="left"/>
      <w:pPr>
        <w:ind w:left="1835" w:hanging="360"/>
      </w:pPr>
      <w:rPr>
        <w:rFonts w:hint="default"/>
        <w:lang w:val="fr-FR" w:eastAsia="fr-FR" w:bidi="fr-FR"/>
      </w:rPr>
    </w:lvl>
    <w:lvl w:ilvl="3" w:tplc="5586898E">
      <w:numFmt w:val="bullet"/>
      <w:lvlText w:val="•"/>
      <w:lvlJc w:val="left"/>
      <w:pPr>
        <w:ind w:left="2810" w:hanging="360"/>
      </w:pPr>
      <w:rPr>
        <w:rFonts w:hint="default"/>
        <w:lang w:val="fr-FR" w:eastAsia="fr-FR" w:bidi="fr-FR"/>
      </w:rPr>
    </w:lvl>
    <w:lvl w:ilvl="4" w:tplc="80B8B02C">
      <w:numFmt w:val="bullet"/>
      <w:lvlText w:val="•"/>
      <w:lvlJc w:val="left"/>
      <w:pPr>
        <w:ind w:left="3786" w:hanging="360"/>
      </w:pPr>
      <w:rPr>
        <w:rFonts w:hint="default"/>
        <w:lang w:val="fr-FR" w:eastAsia="fr-FR" w:bidi="fr-FR"/>
      </w:rPr>
    </w:lvl>
    <w:lvl w:ilvl="5" w:tplc="F89AE604">
      <w:numFmt w:val="bullet"/>
      <w:lvlText w:val="•"/>
      <w:lvlJc w:val="left"/>
      <w:pPr>
        <w:ind w:left="4761" w:hanging="360"/>
      </w:pPr>
      <w:rPr>
        <w:rFonts w:hint="default"/>
        <w:lang w:val="fr-FR" w:eastAsia="fr-FR" w:bidi="fr-FR"/>
      </w:rPr>
    </w:lvl>
    <w:lvl w:ilvl="6" w:tplc="D58CEA40">
      <w:numFmt w:val="bullet"/>
      <w:lvlText w:val="•"/>
      <w:lvlJc w:val="left"/>
      <w:pPr>
        <w:ind w:left="5737" w:hanging="360"/>
      </w:pPr>
      <w:rPr>
        <w:rFonts w:hint="default"/>
        <w:lang w:val="fr-FR" w:eastAsia="fr-FR" w:bidi="fr-FR"/>
      </w:rPr>
    </w:lvl>
    <w:lvl w:ilvl="7" w:tplc="343AFACA">
      <w:numFmt w:val="bullet"/>
      <w:lvlText w:val="•"/>
      <w:lvlJc w:val="left"/>
      <w:pPr>
        <w:ind w:left="6712" w:hanging="360"/>
      </w:pPr>
      <w:rPr>
        <w:rFonts w:hint="default"/>
        <w:lang w:val="fr-FR" w:eastAsia="fr-FR" w:bidi="fr-FR"/>
      </w:rPr>
    </w:lvl>
    <w:lvl w:ilvl="8" w:tplc="D2FEFD28">
      <w:numFmt w:val="bullet"/>
      <w:lvlText w:val="•"/>
      <w:lvlJc w:val="left"/>
      <w:pPr>
        <w:ind w:left="7688" w:hanging="360"/>
      </w:pPr>
      <w:rPr>
        <w:rFonts w:hint="default"/>
        <w:lang w:val="fr-FR" w:eastAsia="fr-FR" w:bidi="fr-FR"/>
      </w:rPr>
    </w:lvl>
  </w:abstractNum>
  <w:num w:numId="1" w16cid:durableId="15565059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056718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5532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89393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862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52A7"/>
    <w:rsid w:val="000A4F08"/>
    <w:rsid w:val="000B57F9"/>
    <w:rsid w:val="000F6A66"/>
    <w:rsid w:val="00107168"/>
    <w:rsid w:val="00162346"/>
    <w:rsid w:val="0024011D"/>
    <w:rsid w:val="00247C36"/>
    <w:rsid w:val="002860FE"/>
    <w:rsid w:val="002913B0"/>
    <w:rsid w:val="00333B47"/>
    <w:rsid w:val="003E37C6"/>
    <w:rsid w:val="004564D3"/>
    <w:rsid w:val="005076D4"/>
    <w:rsid w:val="00575861"/>
    <w:rsid w:val="005A27B0"/>
    <w:rsid w:val="005F257E"/>
    <w:rsid w:val="00601522"/>
    <w:rsid w:val="00635A1F"/>
    <w:rsid w:val="006A45AF"/>
    <w:rsid w:val="00702C19"/>
    <w:rsid w:val="00736633"/>
    <w:rsid w:val="007910CB"/>
    <w:rsid w:val="007927EC"/>
    <w:rsid w:val="007A3296"/>
    <w:rsid w:val="007B1F81"/>
    <w:rsid w:val="007C31B9"/>
    <w:rsid w:val="007F1C8A"/>
    <w:rsid w:val="008637A3"/>
    <w:rsid w:val="008904CD"/>
    <w:rsid w:val="00897EE7"/>
    <w:rsid w:val="0094658E"/>
    <w:rsid w:val="00953A48"/>
    <w:rsid w:val="009949A0"/>
    <w:rsid w:val="00995D5A"/>
    <w:rsid w:val="009C615D"/>
    <w:rsid w:val="00A91A8C"/>
    <w:rsid w:val="00B12612"/>
    <w:rsid w:val="00B16BF3"/>
    <w:rsid w:val="00B8227E"/>
    <w:rsid w:val="00B83F9F"/>
    <w:rsid w:val="00B94F1B"/>
    <w:rsid w:val="00BA7C0A"/>
    <w:rsid w:val="00C315CC"/>
    <w:rsid w:val="00C35B2B"/>
    <w:rsid w:val="00CB5BF5"/>
    <w:rsid w:val="00DA2F9B"/>
    <w:rsid w:val="00DB1F56"/>
    <w:rsid w:val="00DE1908"/>
    <w:rsid w:val="00DF2ED2"/>
    <w:rsid w:val="00E51A72"/>
    <w:rsid w:val="00EC67BB"/>
    <w:rsid w:val="00F02FDC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023C0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qFormat/>
    <w:rsid w:val="008637A3"/>
    <w:pPr>
      <w:widowControl w:val="0"/>
      <w:autoSpaceDE w:val="0"/>
      <w:autoSpaceDN w:val="0"/>
      <w:spacing w:after="0" w:line="240" w:lineRule="auto"/>
      <w:ind w:left="136"/>
      <w:outlineLvl w:val="1"/>
    </w:pPr>
    <w:rPr>
      <w:rFonts w:cs="Calibri"/>
      <w:b/>
      <w:bCs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8637A3"/>
    <w:rPr>
      <w:rFonts w:cs="Calibri"/>
      <w:b/>
      <w:bCs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8637A3"/>
    <w:pPr>
      <w:widowControl w:val="0"/>
      <w:autoSpaceDE w:val="0"/>
      <w:autoSpaceDN w:val="0"/>
      <w:spacing w:after="0" w:line="240" w:lineRule="auto"/>
    </w:pPr>
    <w:rPr>
      <w:rFonts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637A3"/>
    <w:rPr>
      <w:rFonts w:cs="Calibri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rsid w:val="008637A3"/>
    <w:pPr>
      <w:widowControl w:val="0"/>
      <w:autoSpaceDE w:val="0"/>
      <w:autoSpaceDN w:val="0"/>
      <w:spacing w:after="0" w:line="240" w:lineRule="auto"/>
      <w:ind w:left="419" w:hanging="283"/>
    </w:pPr>
    <w:rPr>
      <w:rFonts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B0C86-5287-4B3E-A0D0-17991564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2015-09-09T16:36:00Z</cp:lastPrinted>
  <dcterms:created xsi:type="dcterms:W3CDTF">2018-08-29T21:02:00Z</dcterms:created>
  <dcterms:modified xsi:type="dcterms:W3CDTF">2024-10-08T15:44:00Z</dcterms:modified>
</cp:coreProperties>
</file>