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9722" w14:textId="77777777" w:rsidR="001264B6" w:rsidRDefault="001264B6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color w:val="222222"/>
          <w:sz w:val="21"/>
        </w:rPr>
      </w:pPr>
    </w:p>
    <w:p w14:paraId="2BE9DC2E" w14:textId="77777777" w:rsidR="001264B6" w:rsidRDefault="001264B6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color w:val="222222"/>
          <w:sz w:val="21"/>
        </w:rPr>
      </w:pPr>
      <w:r>
        <w:rPr>
          <w:rFonts w:ascii="inherit" w:eastAsia="Times New Roman" w:hAnsi="inherit" w:cs="Arial"/>
          <w:b/>
          <w:bCs/>
          <w:color w:val="222222"/>
          <w:sz w:val="21"/>
        </w:rPr>
        <w:t>DIAGNOSTIC PRINCIPAL :</w:t>
      </w:r>
    </w:p>
    <w:p w14:paraId="45B088AF" w14:textId="77777777" w:rsidR="001264B6" w:rsidRDefault="001264B6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color w:val="222222"/>
          <w:sz w:val="21"/>
        </w:rPr>
      </w:pPr>
    </w:p>
    <w:p w14:paraId="20786F5A" w14:textId="77777777" w:rsidR="001264B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  <w:r w:rsidRPr="006559E6">
        <w:rPr>
          <w:rFonts w:ascii="SegoeUI-Light" w:hAnsi="SegoeUI-Light" w:cs="SegoeUI-Light"/>
          <w:sz w:val="20"/>
          <w:szCs w:val="20"/>
          <w:lang w:eastAsia="fr-FR"/>
        </w:rPr>
        <w:t xml:space="preserve">E11.98 Diabète sucré de type 2 non </w:t>
      </w:r>
      <w:proofErr w:type="spellStart"/>
      <w:r w:rsidRPr="006559E6">
        <w:rPr>
          <w:rFonts w:ascii="SegoeUI-Light" w:hAnsi="SegoeUI-Light" w:cs="SegoeUI-Light"/>
          <w:sz w:val="20"/>
          <w:szCs w:val="20"/>
          <w:lang w:eastAsia="fr-FR"/>
        </w:rPr>
        <w:t>insulinotraité</w:t>
      </w:r>
      <w:proofErr w:type="spellEnd"/>
      <w:r w:rsidRPr="006559E6">
        <w:rPr>
          <w:rFonts w:ascii="SegoeUI-Light" w:hAnsi="SegoeUI-Light" w:cs="SegoeUI-Light"/>
          <w:sz w:val="20"/>
          <w:szCs w:val="20"/>
          <w:lang w:eastAsia="fr-FR"/>
        </w:rPr>
        <w:t xml:space="preserve"> ou sans précision, sans complication</w:t>
      </w:r>
    </w:p>
    <w:p w14:paraId="47549800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13581CB5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36520407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037143D5" w14:textId="77777777" w:rsidR="006559E6" w:rsidRP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b/>
          <w:sz w:val="20"/>
          <w:szCs w:val="20"/>
          <w:u w:val="single"/>
          <w:lang w:eastAsia="fr-FR"/>
        </w:rPr>
      </w:pPr>
      <w:r w:rsidRPr="006559E6">
        <w:rPr>
          <w:rFonts w:ascii="SegoeUI-Light" w:hAnsi="SegoeUI-Light" w:cs="SegoeUI-Light"/>
          <w:b/>
          <w:sz w:val="20"/>
          <w:szCs w:val="20"/>
          <w:u w:val="single"/>
          <w:lang w:eastAsia="fr-FR"/>
        </w:rPr>
        <w:t>DIAGNOSTIC ASSOCIE SIGNIFICATIF :</w:t>
      </w:r>
    </w:p>
    <w:p w14:paraId="2B43FA34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69E25CBA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Z71.3 Surveillance et conseils diététiques</w:t>
      </w:r>
    </w:p>
    <w:p w14:paraId="2C0C427C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  <w:r w:rsidRPr="006559E6">
        <w:rPr>
          <w:rFonts w:ascii="SegoeUI-Light" w:hAnsi="SegoeUI-Light" w:cs="SegoeUI-Light"/>
          <w:sz w:val="20"/>
          <w:szCs w:val="20"/>
          <w:lang w:eastAsia="fr-FR"/>
        </w:rPr>
        <w:t>E66.03 Surpoids dû à un excès calorique, de l'adulte ou de l'enfant</w:t>
      </w:r>
    </w:p>
    <w:p w14:paraId="6D5F4CA3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  <w:r w:rsidRPr="006559E6">
        <w:rPr>
          <w:rFonts w:ascii="SegoeUI-Light" w:hAnsi="SegoeUI-Light" w:cs="SegoeUI-Light"/>
          <w:sz w:val="20"/>
          <w:szCs w:val="20"/>
          <w:lang w:eastAsia="fr-FR"/>
        </w:rPr>
        <w:t>Z91.1 Antécédents personnels de non-observance d'un traitement médical et d'un régime</w:t>
      </w:r>
    </w:p>
    <w:p w14:paraId="7C0BEEE4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70D88D66" w14:textId="77777777" w:rsidR="006559E6" w:rsidRDefault="006559E6" w:rsidP="00EC0917">
      <w:pPr>
        <w:shd w:val="clear" w:color="auto" w:fill="FFFFFF"/>
        <w:spacing w:after="0" w:line="264" w:lineRule="atLeast"/>
        <w:textAlignment w:val="baseline"/>
        <w:rPr>
          <w:rFonts w:ascii="SegoeUI-Light" w:hAnsi="SegoeUI-Light" w:cs="SegoeUI-Light"/>
          <w:sz w:val="20"/>
          <w:szCs w:val="20"/>
          <w:lang w:eastAsia="fr-FR"/>
        </w:rPr>
      </w:pPr>
    </w:p>
    <w:p w14:paraId="3EB56389" w14:textId="77777777" w:rsidR="006559E6" w:rsidRDefault="008055F9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sz w:val="21"/>
        </w:rPr>
      </w:pPr>
      <w:r>
        <w:rPr>
          <w:rFonts w:ascii="inherit" w:eastAsia="Times New Roman" w:hAnsi="inherit" w:cs="Arial"/>
          <w:b/>
          <w:bCs/>
          <w:sz w:val="21"/>
        </w:rPr>
        <w:t>COMMENTAIRE :</w:t>
      </w:r>
    </w:p>
    <w:p w14:paraId="4FB864BF" w14:textId="77777777" w:rsidR="008055F9" w:rsidRDefault="008055F9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sz w:val="21"/>
        </w:rPr>
      </w:pPr>
    </w:p>
    <w:p w14:paraId="6FFDD564" w14:textId="77777777" w:rsidR="008055F9" w:rsidRPr="006559E6" w:rsidRDefault="008055F9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b/>
          <w:bCs/>
          <w:sz w:val="21"/>
        </w:rPr>
      </w:pPr>
      <w:r>
        <w:rPr>
          <w:rFonts w:ascii="inherit" w:eastAsia="Times New Roman" w:hAnsi="inherit" w:cs="Arial"/>
          <w:b/>
          <w:bCs/>
          <w:sz w:val="21"/>
        </w:rPr>
        <w:t>Situation équivalente au traitement unique, (patiente mise sous pompe à insuline provisoirement).</w:t>
      </w:r>
    </w:p>
    <w:p w14:paraId="77F04DA4" w14:textId="77777777" w:rsidR="00EC0917" w:rsidRPr="00EF568D" w:rsidRDefault="001264B6" w:rsidP="00EC0917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</w:rPr>
      </w:pPr>
      <w:r w:rsidRPr="00EF568D">
        <w:rPr>
          <w:rFonts w:ascii="inherit" w:eastAsia="Times New Roman" w:hAnsi="inherit" w:cs="Arial"/>
          <w:b/>
          <w:bCs/>
          <w:color w:val="222222"/>
          <w:sz w:val="21"/>
        </w:rPr>
        <w:t xml:space="preserve"> </w:t>
      </w:r>
      <w:r w:rsidR="00EC0917" w:rsidRPr="00EF568D">
        <w:rPr>
          <w:rFonts w:ascii="inherit" w:eastAsia="Times New Roman" w:hAnsi="inherit" w:cs="Arial"/>
          <w:b/>
          <w:bCs/>
          <w:color w:val="222222"/>
          <w:sz w:val="21"/>
        </w:rPr>
        <w:t>[Règle T9]</w:t>
      </w:r>
      <w:r w:rsidR="00EC0917" w:rsidRPr="00EF568D">
        <w:rPr>
          <w:rFonts w:ascii="inherit" w:eastAsia="Times New Roman" w:hAnsi="inherit" w:cs="Arial"/>
          <w:color w:val="222222"/>
          <w:sz w:val="21"/>
        </w:rPr>
        <w:t> </w:t>
      </w:r>
      <w:r w:rsidR="00EC0917"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: Dans la situation de traitement unique médical, le DP est l’affection traitée.</w:t>
      </w:r>
    </w:p>
    <w:p w14:paraId="58DF9792" w14:textId="77777777" w:rsidR="00676F5C" w:rsidRDefault="00676F5C" w:rsidP="007B1F81"/>
    <w:p w14:paraId="14C693C8" w14:textId="77777777" w:rsidR="008055F9" w:rsidRDefault="008055F9" w:rsidP="008055F9">
      <w:r>
        <w:t>DIABÈTE DE TYPE 2 TRAITÉ PAR INSULINE</w:t>
      </w:r>
    </w:p>
    <w:p w14:paraId="21202E09" w14:textId="77777777" w:rsidR="008055F9" w:rsidRDefault="008055F9" w:rsidP="008055F9">
      <w:r>
        <w:t xml:space="preserve">Des extensions des codes de la catégorie E11 Diabète sucré non insulinodépendant de la CIM–10 ont été créées en 2011 pour distinguer le diabète de type 2 (« non insulinodépendant ») traité par voie orale de celui nécessitant un traitement par insuline (diabète de type 2 dit </w:t>
      </w:r>
      <w:proofErr w:type="spellStart"/>
      <w:r>
        <w:t>insulinonécessitant</w:t>
      </w:r>
      <w:proofErr w:type="spellEnd"/>
      <w:r>
        <w:t xml:space="preserve">, insulinorequérant ou </w:t>
      </w:r>
      <w:proofErr w:type="spellStart"/>
      <w:r>
        <w:t>insulinotraité</w:t>
      </w:r>
      <w:proofErr w:type="spellEnd"/>
      <w:r>
        <w:t xml:space="preserve">). Les codes étendus correspondant à ces derniers sont ceux possédant le chiffre « 0 » en cinquième position du code : E11.00 Diabète sucré non insulinodépendant </w:t>
      </w:r>
      <w:proofErr w:type="spellStart"/>
      <w:r>
        <w:t>insulinotraité</w:t>
      </w:r>
      <w:proofErr w:type="spellEnd"/>
      <w:r>
        <w:t xml:space="preserve">, avec coma, E11.10 Diabète sucré non insulinodépendant </w:t>
      </w:r>
      <w:proofErr w:type="spellStart"/>
      <w:r>
        <w:t>insulinotraité</w:t>
      </w:r>
      <w:proofErr w:type="spellEnd"/>
      <w:r>
        <w:t xml:space="preserve">, avec acidocétose, E11.20 Diabète sucré non insulinodépendant </w:t>
      </w:r>
      <w:proofErr w:type="spellStart"/>
      <w:r>
        <w:t>insulinotraité</w:t>
      </w:r>
      <w:proofErr w:type="spellEnd"/>
      <w:r>
        <w:t xml:space="preserve">, avec complications  rénales […] E11.90 Diabète sucré non insulinodépendant </w:t>
      </w:r>
      <w:proofErr w:type="spellStart"/>
      <w:r>
        <w:t>insulinotraité</w:t>
      </w:r>
      <w:proofErr w:type="spellEnd"/>
      <w:r>
        <w:t xml:space="preserve">, sans complication. </w:t>
      </w:r>
      <w:r w:rsidRPr="008055F9">
        <w:rPr>
          <w:b/>
          <w:u w:val="single"/>
        </w:rPr>
        <w:t xml:space="preserve">Ces codes sont réservés au diabète de type 2 </w:t>
      </w:r>
      <w:proofErr w:type="spellStart"/>
      <w:r w:rsidRPr="008055F9">
        <w:rPr>
          <w:b/>
          <w:u w:val="single"/>
        </w:rPr>
        <w:t>insulinotraité</w:t>
      </w:r>
      <w:proofErr w:type="spellEnd"/>
      <w:r w:rsidRPr="008055F9">
        <w:rPr>
          <w:b/>
          <w:u w:val="single"/>
        </w:rPr>
        <w:t xml:space="preserve"> au long cours. Ils ne doivent pas être employés lorsqu’un évènement ponctuel exige, pendant une hospitalisation, un bref remplacement d’un traitement antidiabétique oral par l’insuline</w:t>
      </w:r>
      <w:r>
        <w:t>, par exemple pour une anesthésie. La mention d’un code étendu E11.–0 dans un RUM suppose que le patient fût déjà traité par insuline à son domicile avant son hospitalisation ou que le traitement insulinique soit poursuivi à domicile après la sortie (il est alors mentionné dans l’ordonnance de sortie).</w:t>
      </w:r>
    </w:p>
    <w:sectPr w:rsidR="008055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1CCD" w14:textId="77777777" w:rsidR="00C821B3" w:rsidRDefault="00C821B3" w:rsidP="00C35B2B">
      <w:pPr>
        <w:spacing w:after="0" w:line="240" w:lineRule="auto"/>
      </w:pPr>
      <w:r>
        <w:separator/>
      </w:r>
    </w:p>
  </w:endnote>
  <w:endnote w:type="continuationSeparator" w:id="0">
    <w:p w14:paraId="1176B5C6" w14:textId="77777777" w:rsidR="00C821B3" w:rsidRDefault="00C821B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EA644" w14:textId="77777777" w:rsidR="00077AD8" w:rsidRDefault="00077A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A55A" w14:textId="77777777" w:rsidR="00077AD8" w:rsidRDefault="00077AD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AA4D1" w14:textId="77777777" w:rsidR="00077AD8" w:rsidRDefault="00077A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4606A" w14:textId="77777777" w:rsidR="00C821B3" w:rsidRDefault="00C821B3" w:rsidP="00C35B2B">
      <w:pPr>
        <w:spacing w:after="0" w:line="240" w:lineRule="auto"/>
      </w:pPr>
      <w:r>
        <w:separator/>
      </w:r>
    </w:p>
  </w:footnote>
  <w:footnote w:type="continuationSeparator" w:id="0">
    <w:p w14:paraId="143CC875" w14:textId="77777777" w:rsidR="00C821B3" w:rsidRDefault="00C821B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3AFE" w14:textId="77777777" w:rsidR="00077AD8" w:rsidRDefault="00077A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1"/>
      <w:gridCol w:w="5406"/>
      <w:gridCol w:w="1295"/>
    </w:tblGrid>
    <w:tr w:rsidR="00C35B2B" w14:paraId="40D513B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80C1352" w14:textId="07F346BE" w:rsidR="00C35B2B" w:rsidRPr="00C35B2B" w:rsidRDefault="00C35B2B" w:rsidP="00676F5C">
          <w:pPr>
            <w:pStyle w:val="En-tte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4E175E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077AD8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8E33E2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ECDCC6F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9617B4A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BC3A7BD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C06E00A" w14:textId="77777777" w:rsidR="007A3296" w:rsidRDefault="00676F5C" w:rsidP="00B14C8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ENDOC 4</w:t>
          </w:r>
        </w:p>
      </w:tc>
    </w:tr>
  </w:tbl>
  <w:p w14:paraId="082867EA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A107" w14:textId="77777777" w:rsidR="00077AD8" w:rsidRDefault="00077A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43BB0"/>
    <w:multiLevelType w:val="hybridMultilevel"/>
    <w:tmpl w:val="07E421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42860"/>
    <w:multiLevelType w:val="hybridMultilevel"/>
    <w:tmpl w:val="5D2E4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2182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2354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1495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7747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2910340">
    <w:abstractNumId w:val="5"/>
  </w:num>
  <w:num w:numId="6" w16cid:durableId="984890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65066"/>
    <w:rsid w:val="00077AD8"/>
    <w:rsid w:val="00093BF0"/>
    <w:rsid w:val="000A4F08"/>
    <w:rsid w:val="000B57F9"/>
    <w:rsid w:val="001264B6"/>
    <w:rsid w:val="00162346"/>
    <w:rsid w:val="0024011D"/>
    <w:rsid w:val="00247C36"/>
    <w:rsid w:val="002860FE"/>
    <w:rsid w:val="002913B0"/>
    <w:rsid w:val="002C65A9"/>
    <w:rsid w:val="003E5C03"/>
    <w:rsid w:val="004564D3"/>
    <w:rsid w:val="00456D94"/>
    <w:rsid w:val="004B254F"/>
    <w:rsid w:val="004D3A41"/>
    <w:rsid w:val="005076D4"/>
    <w:rsid w:val="0052185A"/>
    <w:rsid w:val="00575861"/>
    <w:rsid w:val="005F257E"/>
    <w:rsid w:val="00601522"/>
    <w:rsid w:val="006559E6"/>
    <w:rsid w:val="00676F5C"/>
    <w:rsid w:val="00702C19"/>
    <w:rsid w:val="00736633"/>
    <w:rsid w:val="007910CB"/>
    <w:rsid w:val="007927EC"/>
    <w:rsid w:val="007A3296"/>
    <w:rsid w:val="007B1F81"/>
    <w:rsid w:val="007C31B9"/>
    <w:rsid w:val="007F1C8A"/>
    <w:rsid w:val="00804C56"/>
    <w:rsid w:val="008055F9"/>
    <w:rsid w:val="008904CD"/>
    <w:rsid w:val="008C2A1B"/>
    <w:rsid w:val="00953A48"/>
    <w:rsid w:val="009A78B0"/>
    <w:rsid w:val="009C615D"/>
    <w:rsid w:val="00A91A8C"/>
    <w:rsid w:val="00B14C85"/>
    <w:rsid w:val="00B16BF3"/>
    <w:rsid w:val="00B30FE3"/>
    <w:rsid w:val="00B8227E"/>
    <w:rsid w:val="00BA7C0A"/>
    <w:rsid w:val="00BD6E9F"/>
    <w:rsid w:val="00C113A3"/>
    <w:rsid w:val="00C35B2B"/>
    <w:rsid w:val="00C821B3"/>
    <w:rsid w:val="00CF24AE"/>
    <w:rsid w:val="00DA2F9B"/>
    <w:rsid w:val="00DE1908"/>
    <w:rsid w:val="00E51A72"/>
    <w:rsid w:val="00EC0917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30CE7"/>
  <w15:docId w15:val="{B4A57DDE-BF29-46FB-ABDB-EBE24ABA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34"/>
    <w:qFormat/>
    <w:rsid w:val="00676F5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EC09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12D60-083A-4A1D-8B4C-A61A035E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15</cp:revision>
  <cp:lastPrinted>2015-09-09T16:36:00Z</cp:lastPrinted>
  <dcterms:created xsi:type="dcterms:W3CDTF">2018-08-27T21:08:00Z</dcterms:created>
  <dcterms:modified xsi:type="dcterms:W3CDTF">2024-10-08T15:46:00Z</dcterms:modified>
</cp:coreProperties>
</file>