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A142A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50F47C21" w14:textId="77777777" w:rsidR="00285CB8" w:rsidRDefault="00285CB8" w:rsidP="006B1807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J20.9 Bronchite aigüe, sans précision</w:t>
      </w:r>
    </w:p>
    <w:p w14:paraId="4E4AD4E8" w14:textId="77777777" w:rsidR="00285CB8" w:rsidRDefault="00285CB8" w:rsidP="006B1807">
      <w:pPr>
        <w:rPr>
          <w:b/>
          <w:u w:val="single"/>
        </w:rPr>
      </w:pPr>
    </w:p>
    <w:p w14:paraId="27D696BC" w14:textId="77777777" w:rsidR="006B1807" w:rsidRDefault="006B1807" w:rsidP="006B1807">
      <w:r w:rsidRPr="007B1F81">
        <w:rPr>
          <w:b/>
          <w:u w:val="single"/>
        </w:rPr>
        <w:t>DIAGNOSTIC ASSOCIE SIGNIFICATIF</w:t>
      </w:r>
      <w:r>
        <w:t> :</w:t>
      </w:r>
    </w:p>
    <w:p w14:paraId="6E616497" w14:textId="77777777" w:rsidR="00285CB8" w:rsidRDefault="00285CB8" w:rsidP="00285CB8">
      <w:r>
        <w:rPr>
          <w:rFonts w:ascii="SegoeUI-Light" w:hAnsi="SegoeUI-Light" w:cs="SegoeUI-Light"/>
          <w:sz w:val="20"/>
          <w:szCs w:val="20"/>
          <w:lang w:eastAsia="fr-FR"/>
        </w:rPr>
        <w:t>Z53.0 Acte non effectué en raison de contre-indication</w:t>
      </w:r>
      <w:r w:rsidRPr="00285CB8">
        <w:t xml:space="preserve"> </w:t>
      </w:r>
    </w:p>
    <w:p w14:paraId="295CDAD6" w14:textId="77777777" w:rsidR="00285CB8" w:rsidRDefault="00285CB8" w:rsidP="00285CB8">
      <w:r w:rsidRPr="002843FD">
        <w:t>C61 Tum</w:t>
      </w:r>
      <w:r>
        <w:t>e</w:t>
      </w:r>
      <w:r w:rsidRPr="002843FD">
        <w:t>ur maligne [cancer] de la prostate</w:t>
      </w:r>
    </w:p>
    <w:p w14:paraId="6A43FF75" w14:textId="77777777" w:rsidR="00285CB8" w:rsidRDefault="00285CB8" w:rsidP="00285CB8"/>
    <w:p w14:paraId="4DAC22CA" w14:textId="77777777" w:rsidR="009C615D" w:rsidRPr="00947FC3" w:rsidRDefault="009C615D" w:rsidP="007B1F81">
      <w:pPr>
        <w:rPr>
          <w:b/>
          <w:u w:val="single"/>
        </w:rPr>
      </w:pPr>
      <w:r w:rsidRPr="00947FC3">
        <w:rPr>
          <w:b/>
          <w:u w:val="single"/>
        </w:rPr>
        <w:t>Commentaire éventuel :</w:t>
      </w:r>
    </w:p>
    <w:p w14:paraId="5FBF7FD0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La catégorie Z53 permet le codage des circonstances dans lesquelles les soins envisagés ne peuvent être prodigués ; le mot acte de</w:t>
      </w:r>
      <w:r w:rsidR="002843FD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l’intitulé doit être lu avec l’acception étendue de « prestation de soins », « prise en charge ».</w:t>
      </w:r>
    </w:p>
    <w:p w14:paraId="509745FF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Italic" w:hAnsi="SegoeUI-LightItalic" w:cs="SegoeUI-LightItalic"/>
          <w:i/>
          <w:iCs/>
          <w:color w:val="000000"/>
          <w:sz w:val="18"/>
          <w:szCs w:val="18"/>
          <w:lang w:eastAsia="fr-FR"/>
        </w:rPr>
        <w:t xml:space="preserve">Exemples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:</w:t>
      </w:r>
    </w:p>
    <w:p w14:paraId="56653601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– refus d’une transfusion sanguine pour motif de conviction : Z53.1 ;</w:t>
      </w:r>
    </w:p>
    <w:p w14:paraId="03D5B390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– sortie contre avis médical ou par fuite </w:t>
      </w:r>
      <w:r>
        <w:rPr>
          <w:rFonts w:ascii="SegoeUI-Light" w:hAnsi="SegoeUI-Light" w:cs="SegoeUI-Light"/>
          <w:color w:val="77933C"/>
          <w:sz w:val="18"/>
          <w:szCs w:val="18"/>
          <w:lang w:eastAsia="fr-FR"/>
        </w:rPr>
        <w:t xml:space="preserve">[fugue]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: Z53.2.</w:t>
      </w:r>
    </w:p>
    <w:p w14:paraId="38563DB5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</w:pPr>
      <w:r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>Guide méthodologique de production des informations relatives à l’activité médicale et à sa facturation en médecine, chirurgie, obstétrique</w:t>
      </w:r>
      <w:r w:rsidR="002843FD"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 xml:space="preserve"> </w:t>
      </w:r>
      <w:r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>et odontologie– BO 2017-6bis – p.100</w:t>
      </w:r>
    </w:p>
    <w:p w14:paraId="5F8A0A8A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Dans le cas d’une hospitalisation pour une prise en charge prévue mais qui ne peut être réalisée, le codage du DP peut connaître deux</w:t>
      </w:r>
      <w:r w:rsidR="002843FD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modalités :</w:t>
      </w:r>
    </w:p>
    <w:p w14:paraId="4DC33C67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1) Z53.– </w:t>
      </w:r>
      <w:r>
        <w:rPr>
          <w:rFonts w:ascii="SegoeUI-LightItalic" w:hAnsi="SegoeUI-LightItalic" w:cs="SegoeUI-LightItalic"/>
          <w:i/>
          <w:iCs/>
          <w:color w:val="000000"/>
          <w:sz w:val="18"/>
          <w:szCs w:val="18"/>
          <w:lang w:eastAsia="fr-FR"/>
        </w:rPr>
        <w:t xml:space="preserve">Sujets ayant recours aux services de santé pour des actes médicaux spécifiques, non effectués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lorsque le motif de non réalisation</w:t>
      </w:r>
      <w:r w:rsidR="002843FD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ne justifie qu’une surveillance, sans qu’une affection ne soit mise en évidence ; cette circonstance ne peut être que rare, la production</w:t>
      </w:r>
      <w:r w:rsidR="002843FD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d’un RSS supposant une hospitalisation ;</w:t>
      </w:r>
    </w:p>
    <w:p w14:paraId="55F12750" w14:textId="77777777" w:rsidR="002843FD" w:rsidRDefault="002843FD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</w:p>
    <w:p w14:paraId="1F7E177C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2) l’affection cause de la contre-indication lorsqu’elle nécessite une prise en charge diagnostique ou thérapeutique [règle D4]</w:t>
      </w:r>
    </w:p>
    <w:p w14:paraId="4357A758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Italic" w:hAnsi="SegoeUI-LightItalic" w:cs="SegoeUI-LightItalic"/>
          <w:i/>
          <w:iCs/>
          <w:color w:val="000000"/>
          <w:sz w:val="18"/>
          <w:szCs w:val="18"/>
          <w:lang w:eastAsia="fr-FR"/>
        </w:rPr>
        <w:t xml:space="preserve">Exemples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:</w:t>
      </w:r>
    </w:p>
    <w:p w14:paraId="14BBB6C2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ymbolMT" w:hAnsi="SymbolMT" w:cs="SymbolMT"/>
          <w:color w:val="000000"/>
          <w:sz w:val="20"/>
          <w:szCs w:val="20"/>
          <w:lang w:eastAsia="fr-FR"/>
        </w:rPr>
        <w:t xml:space="preserve">•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Hospitalisation programmée pour intervention chirurgicale ; une fièvre constatée à l’entrée fait annuler l’intervention; une</w:t>
      </w:r>
      <w:r w:rsidR="00142DF2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hospitalisation de 48 heures ne permet pas d’identifier la cause de la fièvre; retour à domicile ; le diagnostic principal est la fièvre.</w:t>
      </w:r>
    </w:p>
    <w:p w14:paraId="005EF783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ymbolMT" w:hAnsi="SymbolMT" w:cs="SymbolMT"/>
          <w:color w:val="000000"/>
          <w:sz w:val="20"/>
          <w:szCs w:val="20"/>
          <w:lang w:eastAsia="fr-FR"/>
        </w:rPr>
        <w:t xml:space="preserve">•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Hospitalisation programmée pour chimiothérapie anti-tumorale ; une fièvre est constatée à l’entrée et la chimiothérapie annulée ;l’hospitalisation permet le diagnostic et le traitement d’une pneumonie ; le diagnostic principal est la pneumonie.</w:t>
      </w:r>
    </w:p>
    <w:p w14:paraId="564A178F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</w:pPr>
      <w:r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>ATIH Notice technique n° CIM-MF 1234-4-2011 du 28/12/2012 – p. 6</w:t>
      </w:r>
    </w:p>
    <w:p w14:paraId="7376A0EA" w14:textId="77777777" w:rsidR="006B1807" w:rsidRDefault="006B1807" w:rsidP="006B1807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Lorsqu’un patient a été admis pour un acte ou pour des soins qui n’ont pas pu être réalisés pour un des motifs classés dans la catégorie</w:t>
      </w:r>
      <w:r w:rsidR="00142DF2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Z53 </w:t>
      </w:r>
      <w:r>
        <w:rPr>
          <w:rFonts w:ascii="SegoeUI-LightItalic" w:hAnsi="SegoeUI-LightItalic" w:cs="SegoeUI-LightItalic"/>
          <w:i/>
          <w:iCs/>
          <w:color w:val="000000"/>
          <w:sz w:val="18"/>
          <w:szCs w:val="18"/>
          <w:lang w:eastAsia="fr-FR"/>
        </w:rPr>
        <w:t>Sujets ayant recours aux services de santé pour des actes médicaux spécifiques, non effectués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, le code Z53.– correspondant au motif</w:t>
      </w:r>
      <w:r w:rsidR="00142DF2"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peut-être enregistré comme DA, en complément du problème de santé finalement pris en charge.</w:t>
      </w:r>
    </w:p>
    <w:p w14:paraId="290822AD" w14:textId="77777777" w:rsidR="006B1807" w:rsidRDefault="006B1807" w:rsidP="002843FD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</w:pPr>
      <w:r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>Guide méthodologique de production des informations relatives à l’activité médicale et à sa facturation en médecine, chirurgie, obstétrique</w:t>
      </w:r>
      <w:r w:rsidR="002843FD"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 xml:space="preserve"> </w:t>
      </w:r>
      <w:r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  <w:t>et odontologie– BO 2017-6bis – p.70</w:t>
      </w:r>
    </w:p>
    <w:p w14:paraId="38270F74" w14:textId="77777777" w:rsidR="003C2E76" w:rsidRDefault="003C2E76" w:rsidP="002843FD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/>
          <w:iCs/>
          <w:color w:val="FF0000"/>
          <w:sz w:val="18"/>
          <w:szCs w:val="18"/>
          <w:lang w:eastAsia="fr-FR"/>
        </w:rPr>
      </w:pPr>
    </w:p>
    <w:p w14:paraId="4D88AF5B" w14:textId="77777777" w:rsidR="00947FC3" w:rsidRDefault="00947FC3" w:rsidP="002843FD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Cs/>
          <w:sz w:val="18"/>
          <w:szCs w:val="18"/>
          <w:lang w:eastAsia="fr-FR"/>
        </w:rPr>
      </w:pPr>
    </w:p>
    <w:p w14:paraId="0FBC0436" w14:textId="77777777" w:rsidR="00947FC3" w:rsidRDefault="00947FC3" w:rsidP="002843FD">
      <w:pPr>
        <w:autoSpaceDE w:val="0"/>
        <w:autoSpaceDN w:val="0"/>
        <w:adjustRightInd w:val="0"/>
        <w:spacing w:after="0" w:line="240" w:lineRule="auto"/>
        <w:rPr>
          <w:rFonts w:ascii="SegoeUI-LightItalic" w:hAnsi="SegoeUI-LightItalic" w:cs="SegoeUI-LightItalic"/>
          <w:iCs/>
          <w:sz w:val="18"/>
          <w:szCs w:val="18"/>
          <w:lang w:eastAsia="fr-FR"/>
        </w:rPr>
      </w:pPr>
    </w:p>
    <w:sectPr w:rsidR="00947F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1C7A2" w14:textId="77777777" w:rsidR="003F7B7F" w:rsidRDefault="003F7B7F" w:rsidP="00C35B2B">
      <w:pPr>
        <w:spacing w:after="0" w:line="240" w:lineRule="auto"/>
      </w:pPr>
      <w:r>
        <w:separator/>
      </w:r>
    </w:p>
  </w:endnote>
  <w:endnote w:type="continuationSeparator" w:id="0">
    <w:p w14:paraId="595782AB" w14:textId="77777777" w:rsidR="003F7B7F" w:rsidRDefault="003F7B7F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Light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F0FF2" w14:textId="77777777" w:rsidR="000D450D" w:rsidRDefault="000D45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BACA" w14:textId="77777777" w:rsidR="000D450D" w:rsidRDefault="000D45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82A22" w14:textId="77777777" w:rsidR="000D450D" w:rsidRDefault="000D45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3DB19" w14:textId="77777777" w:rsidR="003F7B7F" w:rsidRDefault="003F7B7F" w:rsidP="00C35B2B">
      <w:pPr>
        <w:spacing w:after="0" w:line="240" w:lineRule="auto"/>
      </w:pPr>
      <w:r>
        <w:separator/>
      </w:r>
    </w:p>
  </w:footnote>
  <w:footnote w:type="continuationSeparator" w:id="0">
    <w:p w14:paraId="7A4A14DC" w14:textId="77777777" w:rsidR="003F7B7F" w:rsidRDefault="003F7B7F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92820" w14:textId="77777777" w:rsidR="000D450D" w:rsidRDefault="000D45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66"/>
      <w:gridCol w:w="4947"/>
      <w:gridCol w:w="2275"/>
    </w:tblGrid>
    <w:tr w:rsidR="00C35B2B" w14:paraId="277D78DA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110707" w14:textId="16ABC8C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79A71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82685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7FCC77B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704929B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91FB6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660E0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0344509" w14:textId="77777777" w:rsidR="007A3296" w:rsidRDefault="000D450D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</w:t>
          </w:r>
          <w:r w:rsidR="00380DB0">
            <w:rPr>
              <w:b/>
              <w:color w:val="FF0000"/>
            </w:rPr>
            <w:t>2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1D2E55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BD0E2" w14:textId="77777777" w:rsidR="000D450D" w:rsidRDefault="000D45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55095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90460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014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9357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D450D"/>
    <w:rsid w:val="00142DF2"/>
    <w:rsid w:val="001550AC"/>
    <w:rsid w:val="00162346"/>
    <w:rsid w:val="0024011D"/>
    <w:rsid w:val="00247C36"/>
    <w:rsid w:val="002843FD"/>
    <w:rsid w:val="00285CB8"/>
    <w:rsid w:val="002860FE"/>
    <w:rsid w:val="002913B0"/>
    <w:rsid w:val="00351F71"/>
    <w:rsid w:val="00380DB0"/>
    <w:rsid w:val="003C2E76"/>
    <w:rsid w:val="003F7B7F"/>
    <w:rsid w:val="004564D3"/>
    <w:rsid w:val="005076D4"/>
    <w:rsid w:val="00550AC2"/>
    <w:rsid w:val="00575861"/>
    <w:rsid w:val="00582685"/>
    <w:rsid w:val="005C5875"/>
    <w:rsid w:val="005F257E"/>
    <w:rsid w:val="00601522"/>
    <w:rsid w:val="006B1807"/>
    <w:rsid w:val="00702C19"/>
    <w:rsid w:val="00736633"/>
    <w:rsid w:val="007910CB"/>
    <w:rsid w:val="007927EC"/>
    <w:rsid w:val="007A3296"/>
    <w:rsid w:val="007B1F81"/>
    <w:rsid w:val="007C31B9"/>
    <w:rsid w:val="007F1C8A"/>
    <w:rsid w:val="0080674A"/>
    <w:rsid w:val="008904CD"/>
    <w:rsid w:val="00947FC3"/>
    <w:rsid w:val="00953A48"/>
    <w:rsid w:val="009C615D"/>
    <w:rsid w:val="00A238C6"/>
    <w:rsid w:val="00A91A8C"/>
    <w:rsid w:val="00B16BF3"/>
    <w:rsid w:val="00B8227E"/>
    <w:rsid w:val="00BA7C0A"/>
    <w:rsid w:val="00C35B2B"/>
    <w:rsid w:val="00DA2F9B"/>
    <w:rsid w:val="00DE1908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E5DC9"/>
  <w15:docId w15:val="{3E0F18E5-5B05-4EAA-A9A2-18BAC7B2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A540-951F-4D3F-82AD-274899CA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12</cp:revision>
  <cp:lastPrinted>2015-09-09T16:36:00Z</cp:lastPrinted>
  <dcterms:created xsi:type="dcterms:W3CDTF">2018-09-10T15:33:00Z</dcterms:created>
  <dcterms:modified xsi:type="dcterms:W3CDTF">2024-10-08T09:53:00Z</dcterms:modified>
</cp:coreProperties>
</file>