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5D1" w:rsidRDefault="000275D1" w:rsidP="000275D1">
      <w:pPr>
        <w:jc w:val="center"/>
        <w:rPr>
          <w:b/>
          <w:bCs/>
          <w:sz w:val="28"/>
          <w:szCs w:val="28"/>
        </w:rPr>
      </w:pPr>
      <w:bookmarkStart w:id="0" w:name="_GoBack"/>
      <w:bookmarkEnd w:id="0"/>
      <w:r>
        <w:rPr>
          <w:b/>
          <w:bCs/>
          <w:sz w:val="28"/>
          <w:szCs w:val="28"/>
        </w:rPr>
        <w:t>Université Montpellier Faculté de droit : Année 2023/2024 : M1, S7</w:t>
      </w:r>
    </w:p>
    <w:p w:rsidR="000275D1" w:rsidRDefault="000275D1" w:rsidP="000275D1"/>
    <w:p w:rsidR="000275D1" w:rsidRPr="00AB5DE7" w:rsidRDefault="000275D1" w:rsidP="000275D1">
      <w:pPr>
        <w:pBdr>
          <w:top w:val="single" w:sz="4" w:space="1" w:color="auto"/>
          <w:left w:val="single" w:sz="4" w:space="4" w:color="auto"/>
          <w:bottom w:val="single" w:sz="4" w:space="1" w:color="auto"/>
          <w:right w:val="single" w:sz="4" w:space="4" w:color="auto"/>
        </w:pBdr>
        <w:jc w:val="center"/>
        <w:rPr>
          <w:rFonts w:ascii="Algerian" w:hAnsi="Algerian"/>
          <w:b/>
          <w:bCs/>
          <w:i/>
          <w:sz w:val="32"/>
          <w:szCs w:val="32"/>
        </w:rPr>
      </w:pPr>
      <w:r w:rsidRPr="00AB5DE7">
        <w:rPr>
          <w:rFonts w:ascii="Algerian" w:hAnsi="Algerian"/>
          <w:b/>
          <w:bCs/>
          <w:i/>
          <w:sz w:val="32"/>
          <w:szCs w:val="32"/>
        </w:rPr>
        <w:t>Les régimes matrimoniaux</w:t>
      </w:r>
      <w:r>
        <w:rPr>
          <w:rFonts w:ascii="Algerian" w:hAnsi="Algerian"/>
          <w:b/>
          <w:bCs/>
          <w:i/>
          <w:sz w:val="32"/>
          <w:szCs w:val="32"/>
        </w:rPr>
        <w:t xml:space="preserve"> et aperçu succinct du statut patrimonial des couples non mariés</w:t>
      </w:r>
    </w:p>
    <w:p w:rsidR="000275D1" w:rsidRDefault="000275D1" w:rsidP="000275D1">
      <w:pPr>
        <w:jc w:val="center"/>
        <w:rPr>
          <w:b/>
          <w:bCs/>
          <w:sz w:val="28"/>
          <w:szCs w:val="28"/>
          <w:u w:val="single"/>
        </w:rPr>
      </w:pPr>
    </w:p>
    <w:p w:rsidR="000275D1" w:rsidRDefault="000275D1" w:rsidP="000275D1">
      <w:pPr>
        <w:ind w:firstLine="709"/>
        <w:jc w:val="center"/>
      </w:pPr>
      <w:r w:rsidRPr="008E553A">
        <w:rPr>
          <w:b/>
          <w:sz w:val="24"/>
        </w:rPr>
        <w:t>Correctio</w:t>
      </w:r>
      <w:r>
        <w:rPr>
          <w:b/>
          <w:sz w:val="24"/>
        </w:rPr>
        <w:t>n du partiel du samedi 9 décembre 2023</w:t>
      </w:r>
    </w:p>
    <w:p w:rsidR="000275D1" w:rsidRDefault="000275D1" w:rsidP="000275D1">
      <w:pPr>
        <w:jc w:val="center"/>
        <w:rPr>
          <w:b/>
          <w:bCs/>
          <w:sz w:val="28"/>
          <w:szCs w:val="28"/>
        </w:rPr>
      </w:pPr>
      <w:r>
        <w:rPr>
          <w:b/>
          <w:bCs/>
          <w:sz w:val="28"/>
          <w:szCs w:val="28"/>
        </w:rPr>
        <w:t>Pr. S. Cabrillac</w:t>
      </w:r>
    </w:p>
    <w:p w:rsidR="000275D1" w:rsidRDefault="000275D1" w:rsidP="000275D1">
      <w:pPr>
        <w:rPr>
          <w:b/>
          <w:bCs/>
          <w:sz w:val="28"/>
          <w:szCs w:val="28"/>
        </w:rPr>
      </w:pPr>
    </w:p>
    <w:p w:rsidR="000275D1" w:rsidRDefault="000275D1" w:rsidP="000275D1">
      <w:pPr>
        <w:rPr>
          <w:b/>
          <w:bCs/>
          <w:sz w:val="28"/>
          <w:szCs w:val="28"/>
        </w:rPr>
      </w:pPr>
      <w:r>
        <w:rPr>
          <w:b/>
          <w:bCs/>
          <w:sz w:val="28"/>
          <w:szCs w:val="28"/>
          <w:u w:val="single"/>
        </w:rPr>
        <w:t>Equipe pédagogique</w:t>
      </w:r>
      <w:r>
        <w:rPr>
          <w:b/>
          <w:bCs/>
          <w:sz w:val="28"/>
          <w:szCs w:val="28"/>
        </w:rPr>
        <w:t xml:space="preserve"> : </w:t>
      </w:r>
      <w:r>
        <w:rPr>
          <w:b/>
          <w:sz w:val="28"/>
          <w:szCs w:val="28"/>
        </w:rPr>
        <w:t>Sarah Aniel et Erwan Le Leuch</w:t>
      </w:r>
    </w:p>
    <w:p w:rsidR="000275D1" w:rsidRDefault="000275D1" w:rsidP="000275D1">
      <w:pPr>
        <w:ind w:firstLine="709"/>
        <w:jc w:val="both"/>
        <w:rPr>
          <w:sz w:val="24"/>
        </w:rPr>
      </w:pPr>
    </w:p>
    <w:p w:rsidR="000275D1" w:rsidRDefault="000275D1" w:rsidP="000275D1">
      <w:pPr>
        <w:pBdr>
          <w:top w:val="single" w:sz="4" w:space="1" w:color="auto"/>
          <w:left w:val="single" w:sz="4" w:space="4" w:color="auto"/>
          <w:bottom w:val="single" w:sz="4" w:space="1" w:color="auto"/>
          <w:right w:val="single" w:sz="4" w:space="4" w:color="auto"/>
        </w:pBdr>
        <w:ind w:firstLine="709"/>
        <w:jc w:val="both"/>
        <w:rPr>
          <w:sz w:val="24"/>
        </w:rPr>
      </w:pPr>
      <w:r>
        <w:rPr>
          <w:sz w:val="24"/>
        </w:rPr>
        <w:t>Avertissement. Cette correction est volontairement rédigée de façon moins approfondie que les corrections du semestre. En effet, elle correspond à une rédaction en un temps de 2h30 pour se caler sur le temps de votre épreuve et vous fournir un exemple de ce qui était attendu dans le temps imparti. Les corrections du semestre avaient pour objectif de vous faire progresser, elles offrent donc davantage d’informations et de références. Les révisions de l’examen terminal doivent, par conséquent, s’appuyer en priorité sur les corrections des séances.</w:t>
      </w:r>
    </w:p>
    <w:p w:rsidR="000275D1" w:rsidRDefault="000275D1" w:rsidP="000275D1">
      <w:pPr>
        <w:ind w:firstLine="709"/>
        <w:jc w:val="both"/>
        <w:rPr>
          <w:sz w:val="24"/>
        </w:rPr>
      </w:pPr>
    </w:p>
    <w:p w:rsidR="000275D1" w:rsidRPr="00CE6FE3" w:rsidRDefault="000275D1" w:rsidP="000275D1">
      <w:pPr>
        <w:ind w:firstLine="709"/>
        <w:jc w:val="both"/>
        <w:rPr>
          <w:sz w:val="24"/>
        </w:rPr>
      </w:pPr>
      <w:r>
        <w:rPr>
          <w:sz w:val="24"/>
        </w:rPr>
        <w:t>Les époux se sont</w:t>
      </w:r>
      <w:r w:rsidRPr="00CE6FE3">
        <w:rPr>
          <w:sz w:val="24"/>
        </w:rPr>
        <w:t xml:space="preserve"> mariés sans contrat </w:t>
      </w:r>
      <w:r>
        <w:rPr>
          <w:sz w:val="24"/>
        </w:rPr>
        <w:t xml:space="preserve">en 2004, soit </w:t>
      </w:r>
      <w:r w:rsidRPr="00CE6FE3">
        <w:rPr>
          <w:sz w:val="24"/>
        </w:rPr>
        <w:t>après le 1</w:t>
      </w:r>
      <w:r w:rsidRPr="00CE6FE3">
        <w:rPr>
          <w:sz w:val="24"/>
          <w:vertAlign w:val="superscript"/>
        </w:rPr>
        <w:t>er</w:t>
      </w:r>
      <w:r w:rsidRPr="00CE6FE3">
        <w:rPr>
          <w:sz w:val="24"/>
        </w:rPr>
        <w:t xml:space="preserve"> février 1966</w:t>
      </w:r>
      <w:r>
        <w:rPr>
          <w:sz w:val="24"/>
        </w:rPr>
        <w:t xml:space="preserve">. Ils </w:t>
      </w:r>
      <w:r w:rsidRPr="00CE6FE3">
        <w:rPr>
          <w:sz w:val="24"/>
        </w:rPr>
        <w:t>sont donc mariés sous le régime de la communauté légale réduite aux acquêts</w:t>
      </w:r>
      <w:r>
        <w:rPr>
          <w:sz w:val="24"/>
        </w:rPr>
        <w:t xml:space="preserve"> (article 1400 du Code civil) à partir de la date de leur union. </w:t>
      </w:r>
    </w:p>
    <w:p w:rsidR="000275D1" w:rsidRPr="00CE6FE3" w:rsidRDefault="000275D1" w:rsidP="000275D1">
      <w:pPr>
        <w:ind w:firstLine="709"/>
        <w:jc w:val="both"/>
        <w:rPr>
          <w:sz w:val="24"/>
        </w:rPr>
      </w:pPr>
      <w:r>
        <w:rPr>
          <w:sz w:val="24"/>
        </w:rPr>
        <w:t>Avant d’établir la liquidation (II), nous envisagerons la donation (I).</w:t>
      </w:r>
    </w:p>
    <w:p w:rsidR="000275D1" w:rsidRPr="00CE6FE3" w:rsidRDefault="000275D1" w:rsidP="000275D1">
      <w:pPr>
        <w:jc w:val="both"/>
        <w:rPr>
          <w:sz w:val="24"/>
        </w:rPr>
      </w:pPr>
    </w:p>
    <w:p w:rsidR="000275D1" w:rsidRDefault="007D0D00" w:rsidP="000275D1">
      <w:pPr>
        <w:numPr>
          <w:ilvl w:val="0"/>
          <w:numId w:val="1"/>
        </w:numPr>
        <w:jc w:val="both"/>
        <w:rPr>
          <w:b/>
          <w:bCs/>
          <w:sz w:val="24"/>
        </w:rPr>
      </w:pPr>
      <w:r>
        <w:rPr>
          <w:b/>
          <w:bCs/>
          <w:sz w:val="24"/>
        </w:rPr>
        <w:t>La donation de 700</w:t>
      </w:r>
      <w:r w:rsidR="000275D1">
        <w:rPr>
          <w:b/>
          <w:bCs/>
          <w:sz w:val="24"/>
        </w:rPr>
        <w:t> 000 euros</w:t>
      </w:r>
    </w:p>
    <w:p w:rsidR="000275D1" w:rsidRDefault="000275D1" w:rsidP="000275D1">
      <w:pPr>
        <w:ind w:left="720"/>
        <w:jc w:val="both"/>
        <w:rPr>
          <w:b/>
          <w:bCs/>
          <w:sz w:val="24"/>
        </w:rPr>
      </w:pPr>
    </w:p>
    <w:p w:rsidR="000275D1" w:rsidRPr="00344CC2" w:rsidRDefault="005E3182" w:rsidP="000275D1">
      <w:pPr>
        <w:jc w:val="both"/>
        <w:rPr>
          <w:b/>
          <w:sz w:val="24"/>
          <w:u w:val="single"/>
        </w:rPr>
      </w:pPr>
      <w:r w:rsidRPr="005E3182">
        <w:rPr>
          <w:b/>
          <w:sz w:val="24"/>
        </w:rPr>
        <w:t>A</w:t>
      </w:r>
      <w:r w:rsidR="007D0D00" w:rsidRPr="005E3182">
        <w:rPr>
          <w:b/>
          <w:sz w:val="24"/>
        </w:rPr>
        <w:t xml:space="preserve">) </w:t>
      </w:r>
      <w:r w:rsidR="007D0D00" w:rsidRPr="00344CC2">
        <w:rPr>
          <w:b/>
          <w:sz w:val="24"/>
          <w:u w:val="single"/>
        </w:rPr>
        <w:t xml:space="preserve">Qualification </w:t>
      </w:r>
      <w:r w:rsidR="000275D1" w:rsidRPr="00344CC2">
        <w:rPr>
          <w:b/>
          <w:sz w:val="24"/>
          <w:u w:val="single"/>
        </w:rPr>
        <w:t>du bien</w:t>
      </w:r>
      <w:r w:rsidR="007D0D00" w:rsidRPr="00344CC2">
        <w:rPr>
          <w:b/>
          <w:sz w:val="24"/>
          <w:u w:val="single"/>
        </w:rPr>
        <w:t xml:space="preserve"> donné et détermination de la question</w:t>
      </w:r>
    </w:p>
    <w:p w:rsidR="000275D1" w:rsidRPr="00344CC2" w:rsidRDefault="000275D1" w:rsidP="000275D1">
      <w:pPr>
        <w:jc w:val="both"/>
        <w:rPr>
          <w:sz w:val="24"/>
          <w:u w:val="single"/>
        </w:rPr>
      </w:pPr>
    </w:p>
    <w:p w:rsidR="000275D1" w:rsidRDefault="007D0D00" w:rsidP="000275D1">
      <w:pPr>
        <w:jc w:val="both"/>
        <w:rPr>
          <w:sz w:val="24"/>
        </w:rPr>
      </w:pPr>
      <w:r>
        <w:rPr>
          <w:sz w:val="24"/>
        </w:rPr>
        <w:tab/>
        <w:t>Les stock-options sont des actions distribuées à des salariés afin de les fidéliser et de les impliquer dans la croissance de la structure. Ainsi, il s’agit d’une forme de rémunération</w:t>
      </w:r>
      <w:r w:rsidR="00DD15BF">
        <w:rPr>
          <w:sz w:val="24"/>
        </w:rPr>
        <w:t xml:space="preserve"> du travail</w:t>
      </w:r>
      <w:r>
        <w:rPr>
          <w:sz w:val="24"/>
        </w:rPr>
        <w:t>, qui est donc un bien commun lorsqu’elle est perçue durant le régime (article 1401 du Code civil, Cass. 1</w:t>
      </w:r>
      <w:r w:rsidRPr="007D0D00">
        <w:rPr>
          <w:sz w:val="24"/>
          <w:vertAlign w:val="superscript"/>
        </w:rPr>
        <w:t>ère</w:t>
      </w:r>
      <w:r w:rsidR="00746EBC">
        <w:rPr>
          <w:sz w:val="24"/>
        </w:rPr>
        <w:t xml:space="preserve"> civ. 8 février 1978). L</w:t>
      </w:r>
      <w:r w:rsidR="001D11CC">
        <w:rPr>
          <w:sz w:val="24"/>
        </w:rPr>
        <w:t>es stock-options ayant été</w:t>
      </w:r>
      <w:r>
        <w:rPr>
          <w:sz w:val="24"/>
        </w:rPr>
        <w:t xml:space="preserve"> accumulé</w:t>
      </w:r>
      <w:r w:rsidR="001D11CC">
        <w:rPr>
          <w:sz w:val="24"/>
        </w:rPr>
        <w:t>e</w:t>
      </w:r>
      <w:r>
        <w:rPr>
          <w:sz w:val="24"/>
        </w:rPr>
        <w:t>s depuis 2005 soit un an après l’</w:t>
      </w:r>
      <w:r w:rsidR="00746EBC">
        <w:rPr>
          <w:sz w:val="24"/>
        </w:rPr>
        <w:t>union, ce sont des biens communs.</w:t>
      </w:r>
    </w:p>
    <w:p w:rsidR="007D0D00" w:rsidRDefault="007D0D00" w:rsidP="000275D1">
      <w:pPr>
        <w:jc w:val="both"/>
        <w:rPr>
          <w:sz w:val="24"/>
        </w:rPr>
      </w:pPr>
      <w:r>
        <w:rPr>
          <w:sz w:val="24"/>
        </w:rPr>
        <w:tab/>
        <w:t>La somme issue de la vente d’un bien commun est commune par subrogation. La donation</w:t>
      </w:r>
      <w:r w:rsidR="00746EBC">
        <w:rPr>
          <w:sz w:val="24"/>
        </w:rPr>
        <w:t xml:space="preserve"> de biens communs</w:t>
      </w:r>
      <w:r w:rsidR="00746EBC">
        <w:rPr>
          <w:rStyle w:val="Appelnotedebasdep"/>
          <w:sz w:val="24"/>
        </w:rPr>
        <w:footnoteReference w:id="1"/>
      </w:r>
      <w:r w:rsidR="00746EBC">
        <w:rPr>
          <w:sz w:val="24"/>
        </w:rPr>
        <w:t xml:space="preserve"> par l’</w:t>
      </w:r>
      <w:r>
        <w:rPr>
          <w:sz w:val="24"/>
        </w:rPr>
        <w:t>épouse</w:t>
      </w:r>
      <w:r w:rsidR="00DD15BF">
        <w:rPr>
          <w:sz w:val="24"/>
        </w:rPr>
        <w:t xml:space="preserve"> seule</w:t>
      </w:r>
      <w:r>
        <w:rPr>
          <w:sz w:val="24"/>
        </w:rPr>
        <w:t xml:space="preserve"> (Jeanne voulait faire une surprise à Rémy) est-elle valable et </w:t>
      </w:r>
      <w:r w:rsidR="00746EBC">
        <w:rPr>
          <w:sz w:val="24"/>
        </w:rPr>
        <w:t xml:space="preserve">dans la négative </w:t>
      </w:r>
      <w:r>
        <w:rPr>
          <w:sz w:val="24"/>
        </w:rPr>
        <w:t>qui peut se prévaloir de cette nullité ?</w:t>
      </w:r>
    </w:p>
    <w:p w:rsidR="007D0D00" w:rsidRPr="00CE6FE3" w:rsidRDefault="007D0D00" w:rsidP="000275D1">
      <w:pPr>
        <w:jc w:val="both"/>
        <w:rPr>
          <w:sz w:val="24"/>
        </w:rPr>
      </w:pPr>
      <w:r>
        <w:rPr>
          <w:sz w:val="24"/>
        </w:rPr>
        <w:tab/>
      </w:r>
    </w:p>
    <w:p w:rsidR="000275D1" w:rsidRPr="00344CC2" w:rsidRDefault="005E3182" w:rsidP="000275D1">
      <w:pPr>
        <w:jc w:val="both"/>
        <w:rPr>
          <w:b/>
          <w:sz w:val="24"/>
          <w:u w:val="single"/>
        </w:rPr>
      </w:pPr>
      <w:r w:rsidRPr="00344CC2">
        <w:rPr>
          <w:b/>
          <w:sz w:val="24"/>
          <w:u w:val="single"/>
        </w:rPr>
        <w:t>B</w:t>
      </w:r>
      <w:r w:rsidR="000275D1" w:rsidRPr="00344CC2">
        <w:rPr>
          <w:b/>
          <w:sz w:val="24"/>
          <w:u w:val="single"/>
        </w:rPr>
        <w:t>) La détermination de la règle générale</w:t>
      </w:r>
    </w:p>
    <w:p w:rsidR="000275D1" w:rsidRDefault="000275D1" w:rsidP="000275D1">
      <w:pPr>
        <w:jc w:val="both"/>
        <w:rPr>
          <w:sz w:val="24"/>
        </w:rPr>
      </w:pPr>
    </w:p>
    <w:p w:rsidR="000275D1" w:rsidRPr="00B64EDE" w:rsidRDefault="000275D1" w:rsidP="00746EBC">
      <w:pPr>
        <w:ind w:firstLine="708"/>
        <w:jc w:val="both"/>
        <w:rPr>
          <w:sz w:val="24"/>
          <w:szCs w:val="24"/>
        </w:rPr>
      </w:pPr>
      <w:r>
        <w:rPr>
          <w:sz w:val="24"/>
          <w:szCs w:val="24"/>
        </w:rPr>
        <w:t xml:space="preserve">L’article 1422 du Code civil impose une cogestion pour les donations de biens communs dont la validité est ainsi soumise à l’accord des deux époux : « les époux ne peuvent </w:t>
      </w:r>
      <w:r w:rsidRPr="00DF5DFC">
        <w:rPr>
          <w:sz w:val="24"/>
          <w:szCs w:val="24"/>
          <w:u w:val="single"/>
        </w:rPr>
        <w:t>l’un sans l’autre</w:t>
      </w:r>
      <w:r>
        <w:rPr>
          <w:sz w:val="24"/>
          <w:szCs w:val="24"/>
        </w:rPr>
        <w:t xml:space="preserve">, disposer entre vifs, à titre gratuit, des biens de la communauté ». </w:t>
      </w:r>
      <w:r w:rsidR="00746EBC">
        <w:rPr>
          <w:sz w:val="24"/>
          <w:szCs w:val="24"/>
        </w:rPr>
        <w:t>En cas de violation des règles de gestion des biens communs, l’article 1427 du Code civil prévoit que l’autre époux peut demander l’annulation de l’acte, par conséquent il instaure une nullité re</w:t>
      </w:r>
      <w:r w:rsidR="001D11CC">
        <w:rPr>
          <w:sz w:val="24"/>
          <w:szCs w:val="24"/>
        </w:rPr>
        <w:t>lative qui ne peut être demandée</w:t>
      </w:r>
      <w:r w:rsidR="00746EBC">
        <w:rPr>
          <w:sz w:val="24"/>
          <w:szCs w:val="24"/>
        </w:rPr>
        <w:t xml:space="preserve"> que par l’époux n’ayant pas donné son consentement.</w:t>
      </w:r>
    </w:p>
    <w:p w:rsidR="000275D1" w:rsidRDefault="000275D1" w:rsidP="000275D1">
      <w:pPr>
        <w:ind w:firstLine="708"/>
        <w:jc w:val="both"/>
        <w:rPr>
          <w:sz w:val="24"/>
          <w:szCs w:val="24"/>
        </w:rPr>
      </w:pPr>
    </w:p>
    <w:p w:rsidR="000275D1" w:rsidRPr="005E3182" w:rsidRDefault="005E3182" w:rsidP="000275D1">
      <w:pPr>
        <w:jc w:val="both"/>
        <w:rPr>
          <w:b/>
          <w:sz w:val="24"/>
          <w:u w:val="single"/>
        </w:rPr>
      </w:pPr>
      <w:r w:rsidRPr="005E3182">
        <w:rPr>
          <w:sz w:val="24"/>
          <w:u w:val="single"/>
        </w:rPr>
        <w:t>C</w:t>
      </w:r>
      <w:r w:rsidR="000275D1" w:rsidRPr="005E3182">
        <w:rPr>
          <w:b/>
          <w:sz w:val="24"/>
          <w:u w:val="single"/>
        </w:rPr>
        <w:t>) L’application au cas</w:t>
      </w:r>
    </w:p>
    <w:p w:rsidR="000275D1" w:rsidRPr="00CE6FE3" w:rsidRDefault="000275D1" w:rsidP="000275D1">
      <w:pPr>
        <w:jc w:val="both"/>
        <w:rPr>
          <w:sz w:val="24"/>
        </w:rPr>
      </w:pPr>
    </w:p>
    <w:p w:rsidR="00843040" w:rsidRDefault="000275D1" w:rsidP="000275D1">
      <w:pPr>
        <w:jc w:val="both"/>
        <w:rPr>
          <w:sz w:val="24"/>
          <w:szCs w:val="24"/>
        </w:rPr>
      </w:pPr>
      <w:r>
        <w:rPr>
          <w:sz w:val="24"/>
          <w:szCs w:val="24"/>
        </w:rPr>
        <w:tab/>
      </w:r>
      <w:r w:rsidR="00746EBC">
        <w:rPr>
          <w:sz w:val="24"/>
          <w:szCs w:val="24"/>
        </w:rPr>
        <w:t xml:space="preserve">Madame a violé, en réalisant seule une donation de biens communs, l’article 1422 du Code civil. Toutefois, la sanction de cette violation est une nullité relative qui n’est ouverte qu’à l’époux n’ayant pas réalisé l’acte. </w:t>
      </w:r>
      <w:r w:rsidR="00A36031">
        <w:rPr>
          <w:sz w:val="24"/>
          <w:szCs w:val="24"/>
        </w:rPr>
        <w:t>Madame ne peut donc pas remettre en cause la donation effectuée et Rémy ne semble pas enclin à le faire, ayant le souhait d’adopter un mode de vie sobre et étant fortement attaché à l’association gratifiée. Par conséquent, l’existence de cette donation doit être prise en compte lors des opérations liquidatives.</w:t>
      </w:r>
    </w:p>
    <w:p w:rsidR="00A36031" w:rsidRDefault="00A36031" w:rsidP="000275D1">
      <w:pPr>
        <w:jc w:val="both"/>
        <w:rPr>
          <w:sz w:val="24"/>
          <w:szCs w:val="24"/>
        </w:rPr>
      </w:pPr>
    </w:p>
    <w:p w:rsidR="00A36031" w:rsidRPr="005E3182" w:rsidRDefault="005E3182" w:rsidP="000275D1">
      <w:pPr>
        <w:jc w:val="both"/>
        <w:rPr>
          <w:b/>
          <w:sz w:val="24"/>
          <w:szCs w:val="24"/>
          <w:u w:val="single"/>
        </w:rPr>
      </w:pPr>
      <w:r w:rsidRPr="005E3182">
        <w:rPr>
          <w:b/>
          <w:sz w:val="24"/>
          <w:szCs w:val="24"/>
          <w:u w:val="single"/>
        </w:rPr>
        <w:t>D</w:t>
      </w:r>
      <w:r w:rsidR="00A36031" w:rsidRPr="005E3182">
        <w:rPr>
          <w:b/>
          <w:sz w:val="24"/>
          <w:szCs w:val="24"/>
          <w:u w:val="single"/>
        </w:rPr>
        <w:t>) La nécessaire prise en compte de l’existence de la donation pour la liquidation</w:t>
      </w:r>
    </w:p>
    <w:p w:rsidR="00A36031" w:rsidRPr="005E3182" w:rsidRDefault="00A36031" w:rsidP="000275D1">
      <w:pPr>
        <w:jc w:val="both"/>
        <w:rPr>
          <w:sz w:val="24"/>
          <w:szCs w:val="24"/>
          <w:u w:val="single"/>
        </w:rPr>
      </w:pPr>
    </w:p>
    <w:p w:rsidR="00A36031" w:rsidRDefault="00A36031" w:rsidP="000275D1">
      <w:pPr>
        <w:jc w:val="both"/>
        <w:rPr>
          <w:sz w:val="24"/>
          <w:szCs w:val="24"/>
        </w:rPr>
      </w:pPr>
      <w:r>
        <w:rPr>
          <w:sz w:val="24"/>
          <w:szCs w:val="24"/>
        </w:rPr>
        <w:tab/>
        <w:t>Madame ayant utilisé des biens communs pour réaliser seule une donation, en vertu de l’article 1437 du Code civil, elle doit une récompense pour cette opération. La dépense faite est de 700 000 euros, le profit subsistant s’élève à cette somme. La récompense due est donc en vertu de l’article 1469 alinéa 1</w:t>
      </w:r>
      <w:r w:rsidRPr="00A36031">
        <w:rPr>
          <w:sz w:val="24"/>
          <w:szCs w:val="24"/>
          <w:vertAlign w:val="superscript"/>
        </w:rPr>
        <w:t>er</w:t>
      </w:r>
      <w:r>
        <w:rPr>
          <w:sz w:val="24"/>
          <w:szCs w:val="24"/>
        </w:rPr>
        <w:t xml:space="preserve"> de 700 000 euros.</w:t>
      </w:r>
    </w:p>
    <w:p w:rsidR="00634891" w:rsidRDefault="00634891" w:rsidP="000275D1">
      <w:pPr>
        <w:jc w:val="both"/>
        <w:rPr>
          <w:sz w:val="24"/>
          <w:szCs w:val="24"/>
        </w:rPr>
      </w:pPr>
    </w:p>
    <w:p w:rsidR="00634891" w:rsidRPr="00634891" w:rsidRDefault="00634891" w:rsidP="000275D1">
      <w:pPr>
        <w:jc w:val="both"/>
        <w:rPr>
          <w:b/>
          <w:sz w:val="24"/>
          <w:szCs w:val="24"/>
        </w:rPr>
      </w:pPr>
      <w:r w:rsidRPr="00634891">
        <w:rPr>
          <w:b/>
          <w:sz w:val="24"/>
          <w:szCs w:val="24"/>
        </w:rPr>
        <w:t>II) La liquidation</w:t>
      </w:r>
    </w:p>
    <w:p w:rsidR="00634891" w:rsidRDefault="00634891" w:rsidP="000275D1">
      <w:pPr>
        <w:jc w:val="both"/>
        <w:rPr>
          <w:sz w:val="24"/>
          <w:szCs w:val="24"/>
        </w:rPr>
      </w:pPr>
    </w:p>
    <w:p w:rsidR="00634891" w:rsidRDefault="00E33DD0" w:rsidP="000275D1">
      <w:pPr>
        <w:jc w:val="both"/>
        <w:rPr>
          <w:sz w:val="24"/>
          <w:szCs w:val="24"/>
        </w:rPr>
      </w:pPr>
      <w:r>
        <w:rPr>
          <w:sz w:val="24"/>
          <w:szCs w:val="24"/>
        </w:rPr>
        <w:tab/>
      </w:r>
      <w:r w:rsidR="00634891">
        <w:rPr>
          <w:sz w:val="24"/>
          <w:szCs w:val="24"/>
        </w:rPr>
        <w:t>Seront envisagés l’</w:t>
      </w:r>
      <w:r>
        <w:rPr>
          <w:sz w:val="24"/>
          <w:szCs w:val="24"/>
        </w:rPr>
        <w:t>actif (A)</w:t>
      </w:r>
      <w:r w:rsidR="001D11CC">
        <w:rPr>
          <w:sz w:val="24"/>
          <w:szCs w:val="24"/>
        </w:rPr>
        <w:t xml:space="preserve"> et</w:t>
      </w:r>
      <w:r>
        <w:rPr>
          <w:sz w:val="24"/>
          <w:szCs w:val="24"/>
        </w:rPr>
        <w:t xml:space="preserve"> le passif (B)</w:t>
      </w:r>
      <w:r w:rsidR="00C63427">
        <w:rPr>
          <w:sz w:val="24"/>
          <w:szCs w:val="24"/>
        </w:rPr>
        <w:t>,</w:t>
      </w:r>
      <w:r>
        <w:rPr>
          <w:sz w:val="24"/>
          <w:szCs w:val="24"/>
        </w:rPr>
        <w:t xml:space="preserve"> </w:t>
      </w:r>
      <w:r w:rsidR="001D11CC">
        <w:rPr>
          <w:sz w:val="24"/>
          <w:szCs w:val="24"/>
        </w:rPr>
        <w:t xml:space="preserve">puis </w:t>
      </w:r>
      <w:r>
        <w:rPr>
          <w:sz w:val="24"/>
          <w:szCs w:val="24"/>
        </w:rPr>
        <w:t>l</w:t>
      </w:r>
      <w:r w:rsidR="00C63427">
        <w:rPr>
          <w:sz w:val="24"/>
          <w:szCs w:val="24"/>
        </w:rPr>
        <w:t>es comptes de récompenses (C</w:t>
      </w:r>
      <w:r w:rsidR="00DD15BF">
        <w:rPr>
          <w:sz w:val="24"/>
          <w:szCs w:val="24"/>
        </w:rPr>
        <w:t xml:space="preserve">) </w:t>
      </w:r>
      <w:r w:rsidR="00C63427">
        <w:rPr>
          <w:sz w:val="24"/>
          <w:szCs w:val="24"/>
        </w:rPr>
        <w:t>afin d’établir le tableau de répartition des biens (D),</w:t>
      </w:r>
      <w:r w:rsidR="00DD15BF">
        <w:rPr>
          <w:sz w:val="24"/>
          <w:szCs w:val="24"/>
        </w:rPr>
        <w:t>pour procéder in fine au partage (E</w:t>
      </w:r>
      <w:r>
        <w:rPr>
          <w:sz w:val="24"/>
          <w:szCs w:val="24"/>
        </w:rPr>
        <w:t>).</w:t>
      </w:r>
    </w:p>
    <w:p w:rsidR="00634891" w:rsidRDefault="00634891" w:rsidP="000275D1">
      <w:pPr>
        <w:jc w:val="both"/>
        <w:rPr>
          <w:sz w:val="24"/>
          <w:szCs w:val="24"/>
        </w:rPr>
      </w:pPr>
    </w:p>
    <w:p w:rsidR="00634891" w:rsidRPr="005E3182" w:rsidRDefault="00634891" w:rsidP="00634891">
      <w:pPr>
        <w:rPr>
          <w:b/>
          <w:sz w:val="24"/>
          <w:szCs w:val="24"/>
          <w:u w:val="single"/>
        </w:rPr>
      </w:pPr>
      <w:r w:rsidRPr="005E3182">
        <w:rPr>
          <w:b/>
          <w:sz w:val="24"/>
          <w:szCs w:val="24"/>
          <w:u w:val="single"/>
        </w:rPr>
        <w:t>A) L’actif</w:t>
      </w:r>
    </w:p>
    <w:p w:rsidR="00634891" w:rsidRPr="00634891" w:rsidRDefault="00634891" w:rsidP="00634891">
      <w:pPr>
        <w:rPr>
          <w:b/>
          <w:sz w:val="24"/>
          <w:szCs w:val="24"/>
        </w:rPr>
      </w:pPr>
    </w:p>
    <w:p w:rsidR="00634891" w:rsidRPr="00634891" w:rsidRDefault="00634891" w:rsidP="00634891">
      <w:pPr>
        <w:rPr>
          <w:b/>
          <w:sz w:val="24"/>
          <w:szCs w:val="24"/>
        </w:rPr>
      </w:pPr>
      <w:r w:rsidRPr="00634891">
        <w:rPr>
          <w:b/>
          <w:sz w:val="24"/>
          <w:szCs w:val="24"/>
        </w:rPr>
        <w:t>1) L’appartement parisien</w:t>
      </w:r>
    </w:p>
    <w:p w:rsidR="00634891" w:rsidRDefault="00634891" w:rsidP="00634891">
      <w:pPr>
        <w:rPr>
          <w:sz w:val="24"/>
          <w:szCs w:val="24"/>
        </w:rPr>
      </w:pPr>
    </w:p>
    <w:p w:rsidR="00634891" w:rsidRDefault="00634891" w:rsidP="00E33DD0">
      <w:pPr>
        <w:jc w:val="both"/>
        <w:rPr>
          <w:sz w:val="24"/>
        </w:rPr>
      </w:pPr>
      <w:r>
        <w:rPr>
          <w:sz w:val="24"/>
          <w:szCs w:val="24"/>
        </w:rPr>
        <w:tab/>
        <w:t>Acquis en 2008, durant l’union, il s’agit d’un bien commun en application de l’article 1401 du Code civil. Il a été financé par un emprunt partiellement remboursé en cours de régime par les revenus professionnels de madame (biens communs par application de l’</w:t>
      </w:r>
      <w:r>
        <w:rPr>
          <w:sz w:val="24"/>
        </w:rPr>
        <w:t>article 1401 du Code civil, Cass. 1</w:t>
      </w:r>
      <w:r w:rsidRPr="007D0D00">
        <w:rPr>
          <w:sz w:val="24"/>
          <w:vertAlign w:val="superscript"/>
        </w:rPr>
        <w:t>ère</w:t>
      </w:r>
      <w:r>
        <w:rPr>
          <w:sz w:val="24"/>
        </w:rPr>
        <w:t xml:space="preserve"> civ. 8 février 1978) et par des sommes présumées communes en vertu de l’article 1402 du Code civil. Le financement de ce bien commun résultant exclusivement de biens communs, aucune récompense n’est due.</w:t>
      </w:r>
      <w:r w:rsidR="00E33DD0">
        <w:rPr>
          <w:sz w:val="24"/>
        </w:rPr>
        <w:t xml:space="preserve"> Quant au temps et à l’énergie consacré par Rémy à la renégociation du prêt, cette industrie personnelle ne donne pas lieu à récompense puisqu’il s’agit d</w:t>
      </w:r>
      <w:r w:rsidR="006C406F">
        <w:rPr>
          <w:sz w:val="24"/>
        </w:rPr>
        <w:t>’</w:t>
      </w:r>
      <w:r w:rsidR="00E33DD0">
        <w:rPr>
          <w:sz w:val="24"/>
        </w:rPr>
        <w:t>u</w:t>
      </w:r>
      <w:r w:rsidR="006C406F">
        <w:rPr>
          <w:sz w:val="24"/>
        </w:rPr>
        <w:t>n</w:t>
      </w:r>
      <w:r w:rsidR="00E33DD0">
        <w:rPr>
          <w:sz w:val="24"/>
        </w:rPr>
        <w:t xml:space="preserve"> travail réalisé en faveur de la communauté durant le régime</w:t>
      </w:r>
      <w:r w:rsidR="006A7600">
        <w:rPr>
          <w:sz w:val="24"/>
        </w:rPr>
        <w:t xml:space="preserve"> (Cass. 1</w:t>
      </w:r>
      <w:r w:rsidR="006A7600" w:rsidRPr="006A7600">
        <w:rPr>
          <w:sz w:val="24"/>
          <w:vertAlign w:val="superscript"/>
        </w:rPr>
        <w:t>ère</w:t>
      </w:r>
      <w:r w:rsidR="006A7600">
        <w:rPr>
          <w:sz w:val="24"/>
        </w:rPr>
        <w:t xml:space="preserve"> civ., 18 nov. 1997)</w:t>
      </w:r>
      <w:r w:rsidR="006C406F">
        <w:rPr>
          <w:rStyle w:val="Appelnotedebasdep"/>
          <w:sz w:val="24"/>
        </w:rPr>
        <w:footnoteReference w:id="2"/>
      </w:r>
      <w:r w:rsidR="00E33DD0">
        <w:rPr>
          <w:sz w:val="24"/>
        </w:rPr>
        <w:t>.</w:t>
      </w:r>
    </w:p>
    <w:p w:rsidR="00E33DD0" w:rsidRDefault="00E33DD0" w:rsidP="00E33DD0">
      <w:pPr>
        <w:jc w:val="both"/>
        <w:rPr>
          <w:sz w:val="24"/>
        </w:rPr>
      </w:pPr>
    </w:p>
    <w:p w:rsidR="00E33DD0" w:rsidRPr="00F278FF" w:rsidRDefault="00E33DD0" w:rsidP="00E33DD0">
      <w:pPr>
        <w:jc w:val="both"/>
        <w:rPr>
          <w:b/>
          <w:sz w:val="24"/>
        </w:rPr>
      </w:pPr>
      <w:r w:rsidRPr="00F278FF">
        <w:rPr>
          <w:b/>
          <w:sz w:val="24"/>
        </w:rPr>
        <w:t>2) L’immeuble de bureaux</w:t>
      </w:r>
    </w:p>
    <w:p w:rsidR="00E33DD0" w:rsidRPr="00F278FF" w:rsidRDefault="00E33DD0" w:rsidP="00E33DD0">
      <w:pPr>
        <w:jc w:val="both"/>
        <w:rPr>
          <w:b/>
          <w:sz w:val="24"/>
        </w:rPr>
      </w:pPr>
    </w:p>
    <w:p w:rsidR="00F278FF" w:rsidRPr="00F278FF" w:rsidRDefault="00F278FF" w:rsidP="00E33DD0">
      <w:pPr>
        <w:jc w:val="both"/>
        <w:rPr>
          <w:b/>
          <w:sz w:val="24"/>
        </w:rPr>
      </w:pPr>
      <w:r w:rsidRPr="00F278FF">
        <w:rPr>
          <w:b/>
          <w:sz w:val="24"/>
        </w:rPr>
        <w:tab/>
        <w:t>a) Qualification et financement</w:t>
      </w:r>
    </w:p>
    <w:p w:rsidR="00F278FF" w:rsidRDefault="00F278FF" w:rsidP="00E33DD0">
      <w:pPr>
        <w:jc w:val="both"/>
        <w:rPr>
          <w:sz w:val="24"/>
        </w:rPr>
      </w:pPr>
    </w:p>
    <w:p w:rsidR="00E33DD0" w:rsidRDefault="00E33DD0" w:rsidP="00E33DD0">
      <w:pPr>
        <w:jc w:val="both"/>
        <w:rPr>
          <w:sz w:val="24"/>
        </w:rPr>
      </w:pPr>
      <w:r>
        <w:rPr>
          <w:sz w:val="24"/>
        </w:rPr>
        <w:tab/>
        <w:t xml:space="preserve">Acquis par succession, ce bien est un propre de Rémy en application de l’article 1405 </w:t>
      </w:r>
      <w:r w:rsidR="00F278FF">
        <w:rPr>
          <w:sz w:val="24"/>
        </w:rPr>
        <w:t>alinéa 1</w:t>
      </w:r>
      <w:r w:rsidR="00F278FF" w:rsidRPr="00F278FF">
        <w:rPr>
          <w:sz w:val="24"/>
          <w:vertAlign w:val="superscript"/>
        </w:rPr>
        <w:t>er</w:t>
      </w:r>
      <w:r w:rsidR="00F278FF">
        <w:rPr>
          <w:sz w:val="24"/>
        </w:rPr>
        <w:t xml:space="preserve"> </w:t>
      </w:r>
      <w:r>
        <w:rPr>
          <w:sz w:val="24"/>
        </w:rPr>
        <w:t>du Code civil.</w:t>
      </w:r>
      <w:r w:rsidR="00F278FF">
        <w:rPr>
          <w:sz w:val="24"/>
        </w:rPr>
        <w:t xml:space="preserve"> Le paiement des frais de mutation à titre gratuit de ce bien propre ayant été effectué à l’aide de sommes propres car reçues par succession (article 1405 alinéa 1</w:t>
      </w:r>
      <w:r w:rsidR="00F278FF" w:rsidRPr="00F278FF">
        <w:rPr>
          <w:sz w:val="24"/>
          <w:vertAlign w:val="superscript"/>
        </w:rPr>
        <w:t>er</w:t>
      </w:r>
      <w:r w:rsidR="00F278FF">
        <w:rPr>
          <w:sz w:val="24"/>
        </w:rPr>
        <w:t xml:space="preserve"> du Code civil), aucune récompense n’est due pour l’acquisition.</w:t>
      </w:r>
    </w:p>
    <w:p w:rsidR="00F278FF" w:rsidRDefault="00F278FF" w:rsidP="00E33DD0">
      <w:pPr>
        <w:jc w:val="both"/>
        <w:rPr>
          <w:sz w:val="24"/>
        </w:rPr>
      </w:pPr>
    </w:p>
    <w:p w:rsidR="00F278FF" w:rsidRPr="009F5319" w:rsidRDefault="00F278FF" w:rsidP="00E33DD0">
      <w:pPr>
        <w:jc w:val="both"/>
        <w:rPr>
          <w:b/>
          <w:sz w:val="24"/>
        </w:rPr>
      </w:pPr>
      <w:r>
        <w:rPr>
          <w:sz w:val="24"/>
        </w:rPr>
        <w:tab/>
      </w:r>
      <w:r w:rsidRPr="009F5319">
        <w:rPr>
          <w:b/>
          <w:sz w:val="24"/>
        </w:rPr>
        <w:t>b) Travaux</w:t>
      </w:r>
    </w:p>
    <w:p w:rsidR="009F5319" w:rsidRDefault="009F5319" w:rsidP="00E33DD0">
      <w:pPr>
        <w:jc w:val="both"/>
        <w:rPr>
          <w:sz w:val="24"/>
        </w:rPr>
      </w:pPr>
    </w:p>
    <w:p w:rsidR="009F5319" w:rsidRDefault="009F5319" w:rsidP="00E33DD0">
      <w:pPr>
        <w:jc w:val="both"/>
        <w:rPr>
          <w:sz w:val="24"/>
        </w:rPr>
      </w:pPr>
      <w:r>
        <w:rPr>
          <w:sz w:val="24"/>
        </w:rPr>
        <w:tab/>
        <w:t xml:space="preserve">Les travaux effectués sont des travaux de transformation d’un bien propre (et non de simple entretien) par conséquent, ils doivent être supportés par la masse propre. Or, ils ont été financés : </w:t>
      </w:r>
    </w:p>
    <w:p w:rsidR="009F5319" w:rsidRDefault="009F5319" w:rsidP="009F5319">
      <w:pPr>
        <w:pStyle w:val="Paragraphedeliste"/>
        <w:numPr>
          <w:ilvl w:val="0"/>
          <w:numId w:val="3"/>
        </w:numPr>
        <w:jc w:val="both"/>
        <w:rPr>
          <w:sz w:val="24"/>
        </w:rPr>
      </w:pPr>
      <w:r>
        <w:rPr>
          <w:sz w:val="24"/>
        </w:rPr>
        <w:t>pour 40 000 par les salaires de madame, qui sont des biens communs (article 1401 du Code civil, Cass. 1</w:t>
      </w:r>
      <w:r w:rsidRPr="007D0D00">
        <w:rPr>
          <w:sz w:val="24"/>
          <w:vertAlign w:val="superscript"/>
        </w:rPr>
        <w:t>ère</w:t>
      </w:r>
      <w:r>
        <w:rPr>
          <w:sz w:val="24"/>
        </w:rPr>
        <w:t xml:space="preserve"> civ. 8 février 1978). Par conséquent, la communauté aura droit à récompense pour cette somme commune utilisée au profit d’un bien propre (article 1437 du Code civil).</w:t>
      </w:r>
    </w:p>
    <w:p w:rsidR="009F5319" w:rsidRDefault="009F5319" w:rsidP="009F5319">
      <w:pPr>
        <w:pStyle w:val="Paragraphedeliste"/>
        <w:numPr>
          <w:ilvl w:val="0"/>
          <w:numId w:val="3"/>
        </w:numPr>
        <w:jc w:val="both"/>
        <w:rPr>
          <w:sz w:val="24"/>
        </w:rPr>
      </w:pPr>
      <w:r>
        <w:rPr>
          <w:sz w:val="24"/>
        </w:rPr>
        <w:t xml:space="preserve">Pour 10 000 euros, somme propre de madame car issue par subrogation </w:t>
      </w:r>
      <w:r w:rsidR="0021366D">
        <w:rPr>
          <w:sz w:val="24"/>
        </w:rPr>
        <w:t xml:space="preserve">(article 1406 alinéa 2 du Code civil) </w:t>
      </w:r>
      <w:r>
        <w:rPr>
          <w:sz w:val="24"/>
        </w:rPr>
        <w:t>de la vente d’un bien propre en raison de son acquisition antérieure au mariage (article 1405 du Code civil, alinéa 1</w:t>
      </w:r>
      <w:r w:rsidRPr="009F5319">
        <w:rPr>
          <w:sz w:val="24"/>
          <w:vertAlign w:val="superscript"/>
        </w:rPr>
        <w:t>er</w:t>
      </w:r>
      <w:r>
        <w:rPr>
          <w:sz w:val="24"/>
        </w:rPr>
        <w:t>)</w:t>
      </w:r>
    </w:p>
    <w:p w:rsidR="009F5319" w:rsidRDefault="009F5319" w:rsidP="009F5319">
      <w:pPr>
        <w:jc w:val="both"/>
        <w:rPr>
          <w:sz w:val="24"/>
        </w:rPr>
      </w:pPr>
    </w:p>
    <w:p w:rsidR="009F5319" w:rsidRPr="005E3182" w:rsidRDefault="009F5319" w:rsidP="009F5319">
      <w:pPr>
        <w:jc w:val="both"/>
        <w:rPr>
          <w:sz w:val="24"/>
          <w:u w:val="single"/>
        </w:rPr>
      </w:pPr>
      <w:r w:rsidRPr="005E3182">
        <w:rPr>
          <w:sz w:val="24"/>
          <w:u w:val="single"/>
        </w:rPr>
        <w:t>Pour la récompense :</w:t>
      </w:r>
    </w:p>
    <w:p w:rsidR="009F5319" w:rsidRDefault="009F5319" w:rsidP="009F5319">
      <w:pPr>
        <w:jc w:val="both"/>
        <w:rPr>
          <w:sz w:val="24"/>
        </w:rPr>
      </w:pPr>
      <w:r>
        <w:rPr>
          <w:sz w:val="24"/>
        </w:rPr>
        <w:t>La dépense faite est 40 000 euros</w:t>
      </w:r>
    </w:p>
    <w:p w:rsidR="009F5319" w:rsidRDefault="009F5319" w:rsidP="009F5319">
      <w:pPr>
        <w:jc w:val="both"/>
        <w:rPr>
          <w:sz w:val="24"/>
        </w:rPr>
      </w:pPr>
      <w:r>
        <w:rPr>
          <w:sz w:val="24"/>
        </w:rPr>
        <w:t xml:space="preserve">Le profit subsistant est 0, l’aménagement ayant </w:t>
      </w:r>
      <w:r w:rsidR="001D11CC">
        <w:rPr>
          <w:sz w:val="24"/>
        </w:rPr>
        <w:t xml:space="preserve">même </w:t>
      </w:r>
      <w:r>
        <w:rPr>
          <w:sz w:val="24"/>
        </w:rPr>
        <w:t>fait perdre de la valeur au bien.</w:t>
      </w:r>
    </w:p>
    <w:p w:rsidR="009F5319" w:rsidRDefault="00FC7790" w:rsidP="009F5319">
      <w:pPr>
        <w:jc w:val="both"/>
        <w:rPr>
          <w:sz w:val="24"/>
        </w:rPr>
      </w:pPr>
      <w:r>
        <w:rPr>
          <w:sz w:val="24"/>
        </w:rPr>
        <w:t>Par application de l’a</w:t>
      </w:r>
      <w:r w:rsidR="001D11CC">
        <w:rPr>
          <w:sz w:val="24"/>
        </w:rPr>
        <w:t>rticle 1469 aliné</w:t>
      </w:r>
      <w:r>
        <w:rPr>
          <w:sz w:val="24"/>
        </w:rPr>
        <w:t>a 1</w:t>
      </w:r>
      <w:r w:rsidRPr="00FC7790">
        <w:rPr>
          <w:sz w:val="24"/>
          <w:vertAlign w:val="superscript"/>
        </w:rPr>
        <w:t>er</w:t>
      </w:r>
      <w:r>
        <w:rPr>
          <w:sz w:val="24"/>
        </w:rPr>
        <w:t xml:space="preserve"> du Code civil, la récompense est alors nulle.</w:t>
      </w:r>
    </w:p>
    <w:p w:rsidR="00FC7790" w:rsidRDefault="00FC7790" w:rsidP="009F5319">
      <w:pPr>
        <w:jc w:val="both"/>
        <w:rPr>
          <w:sz w:val="24"/>
        </w:rPr>
      </w:pPr>
    </w:p>
    <w:p w:rsidR="00FC7790" w:rsidRDefault="00FC7790" w:rsidP="009F5319">
      <w:pPr>
        <w:jc w:val="both"/>
        <w:rPr>
          <w:sz w:val="24"/>
        </w:rPr>
      </w:pPr>
      <w:r w:rsidRPr="005E3182">
        <w:rPr>
          <w:sz w:val="24"/>
          <w:u w:val="single"/>
        </w:rPr>
        <w:t>Pour la créance entre époux</w:t>
      </w:r>
      <w:r>
        <w:rPr>
          <w:sz w:val="24"/>
        </w:rPr>
        <w:t> :</w:t>
      </w:r>
    </w:p>
    <w:p w:rsidR="00FC7790" w:rsidRDefault="00FC7790" w:rsidP="009F5319">
      <w:pPr>
        <w:jc w:val="both"/>
        <w:rPr>
          <w:sz w:val="24"/>
        </w:rPr>
      </w:pPr>
      <w:r>
        <w:rPr>
          <w:sz w:val="24"/>
        </w:rPr>
        <w:t>La dépense faite est de 10 000, le profit subsistant de 0. Cependant, le renvoi opéré par l’article 1479 du Code civil à l’évaluation des créances ne concerne que l’alinéa 3 de l’article 1469 ce qui impose en l’absence de renvoi à l’alinéa 1</w:t>
      </w:r>
      <w:r w:rsidRPr="00FC7790">
        <w:rPr>
          <w:sz w:val="24"/>
          <w:vertAlign w:val="superscript"/>
        </w:rPr>
        <w:t>er</w:t>
      </w:r>
      <w:r>
        <w:rPr>
          <w:sz w:val="24"/>
        </w:rPr>
        <w:t xml:space="preserve"> du texte de revenir au nominalisme. Ainsi, la créance de madame est de 10 000 euros.</w:t>
      </w:r>
    </w:p>
    <w:p w:rsidR="00FC7790" w:rsidRDefault="00FC7790" w:rsidP="009F5319">
      <w:pPr>
        <w:jc w:val="both"/>
        <w:rPr>
          <w:sz w:val="24"/>
        </w:rPr>
      </w:pPr>
    </w:p>
    <w:p w:rsidR="00FC7790" w:rsidRPr="00FC7790" w:rsidRDefault="00FC7790" w:rsidP="009F5319">
      <w:pPr>
        <w:jc w:val="both"/>
        <w:rPr>
          <w:b/>
          <w:sz w:val="24"/>
        </w:rPr>
      </w:pPr>
      <w:r w:rsidRPr="00FC7790">
        <w:rPr>
          <w:b/>
          <w:sz w:val="24"/>
        </w:rPr>
        <w:t>3) Le F2 de Palavas</w:t>
      </w:r>
    </w:p>
    <w:p w:rsidR="00FC7790" w:rsidRDefault="00FC7790" w:rsidP="009F5319">
      <w:pPr>
        <w:jc w:val="both"/>
        <w:rPr>
          <w:sz w:val="24"/>
        </w:rPr>
      </w:pPr>
    </w:p>
    <w:p w:rsidR="00FC7790" w:rsidRDefault="00FC7790" w:rsidP="009F5319">
      <w:pPr>
        <w:jc w:val="both"/>
        <w:rPr>
          <w:sz w:val="24"/>
        </w:rPr>
      </w:pPr>
      <w:r>
        <w:rPr>
          <w:sz w:val="24"/>
        </w:rPr>
        <w:tab/>
        <w:t>Reçu par succession, l’appartement de Castres était un bien propre (article 1405 alinéa 1</w:t>
      </w:r>
      <w:r w:rsidRPr="00FC7790">
        <w:rPr>
          <w:sz w:val="24"/>
          <w:vertAlign w:val="superscript"/>
        </w:rPr>
        <w:t>er</w:t>
      </w:r>
      <w:r>
        <w:rPr>
          <w:sz w:val="24"/>
        </w:rPr>
        <w:t xml:space="preserve"> du Code civil). Par subrogation, l’indemnité d’assurance le remplaçant a également la nature de bien propre (article 1406 alinéa 2 du Code civil). Par conséquent, les fonds utilisés par l’acquisition du F2 de Palavas sont des biens propres permettant l’utilisation du mécanisme du remploi, dont les formalités ont été effectuées et le bien acquis est propre par</w:t>
      </w:r>
      <w:r w:rsidR="00D12C28">
        <w:rPr>
          <w:sz w:val="24"/>
        </w:rPr>
        <w:t xml:space="preserve"> application de l’article 1434 du Code civil.</w:t>
      </w:r>
    </w:p>
    <w:p w:rsidR="00D12C28" w:rsidRDefault="00D12C28" w:rsidP="009F5319">
      <w:pPr>
        <w:jc w:val="both"/>
        <w:rPr>
          <w:sz w:val="24"/>
        </w:rPr>
      </w:pPr>
    </w:p>
    <w:p w:rsidR="00D12C28" w:rsidRDefault="00D12C28" w:rsidP="009F5319">
      <w:pPr>
        <w:jc w:val="both"/>
        <w:rPr>
          <w:sz w:val="24"/>
        </w:rPr>
      </w:pPr>
      <w:r>
        <w:rPr>
          <w:sz w:val="24"/>
        </w:rPr>
        <w:tab/>
        <w:t>En l’absence d’indication, les 90 000 euros de frais de succession sont présumés avoir été payés par la communauté (article 1402 du Code civil), elle a donc droit à récompense pour avoir financé l’acquisition d’un bien propre (article 1437 du Code civil).</w:t>
      </w:r>
    </w:p>
    <w:p w:rsidR="00D12C28" w:rsidRDefault="00D12C28" w:rsidP="009F5319">
      <w:pPr>
        <w:jc w:val="both"/>
        <w:rPr>
          <w:sz w:val="24"/>
        </w:rPr>
      </w:pPr>
      <w:r>
        <w:rPr>
          <w:sz w:val="24"/>
        </w:rPr>
        <w:t>DF = 90 000</w:t>
      </w:r>
    </w:p>
    <w:p w:rsidR="00D12C28" w:rsidRDefault="00D12C28" w:rsidP="009F5319">
      <w:pPr>
        <w:jc w:val="both"/>
        <w:rPr>
          <w:sz w:val="24"/>
        </w:rPr>
      </w:pPr>
      <w:r>
        <w:rPr>
          <w:sz w:val="24"/>
        </w:rPr>
        <w:t>Le bien financé étant sorti du patrimoine, l’article 1469 alinéa 3 impose de calculer le profit subsistant à l’égard du bien subrogé. Il faudra alors tenir compte du prorata dans lequel le premier bien a permis le financement du second.</w:t>
      </w:r>
    </w:p>
    <w:p w:rsidR="00D12C28" w:rsidRDefault="00D12C28" w:rsidP="009F5319">
      <w:pPr>
        <w:jc w:val="both"/>
        <w:rPr>
          <w:sz w:val="24"/>
        </w:rPr>
      </w:pPr>
      <w:r>
        <w:rPr>
          <w:sz w:val="24"/>
        </w:rPr>
        <w:t>PS= 90 000/180 000 X 180 000/220 000 X 230 000 = 94</w:t>
      </w:r>
      <w:r w:rsidR="00E568DE">
        <w:rPr>
          <w:sz w:val="24"/>
        </w:rPr>
        <w:t> 090, 9</w:t>
      </w:r>
    </w:p>
    <w:p w:rsidR="00D12C28" w:rsidRDefault="00D12C28" w:rsidP="009F5319">
      <w:pPr>
        <w:jc w:val="both"/>
        <w:rPr>
          <w:sz w:val="24"/>
        </w:rPr>
      </w:pPr>
      <w:r>
        <w:rPr>
          <w:sz w:val="24"/>
        </w:rPr>
        <w:t>La dépense ayant permis l’acquisition d’un bien, la récompense ne peut être moindre que le profit subsistant en application de l’article 1469 alinéa 3 du Code civil et est donc égale à 94 090 euros.</w:t>
      </w:r>
    </w:p>
    <w:p w:rsidR="00E568DE" w:rsidRDefault="00E568DE" w:rsidP="009F5319">
      <w:pPr>
        <w:jc w:val="both"/>
        <w:rPr>
          <w:sz w:val="24"/>
        </w:rPr>
      </w:pPr>
    </w:p>
    <w:p w:rsidR="00E568DE" w:rsidRDefault="00E568DE" w:rsidP="009F5319">
      <w:pPr>
        <w:jc w:val="both"/>
        <w:rPr>
          <w:sz w:val="24"/>
        </w:rPr>
      </w:pPr>
      <w:r>
        <w:rPr>
          <w:sz w:val="24"/>
        </w:rPr>
        <w:tab/>
        <w:t>L’acquisition du studio a été réalisé</w:t>
      </w:r>
      <w:r w:rsidR="00DD15BF">
        <w:rPr>
          <w:sz w:val="24"/>
        </w:rPr>
        <w:t>e</w:t>
      </w:r>
      <w:r>
        <w:rPr>
          <w:sz w:val="24"/>
        </w:rPr>
        <w:t xml:space="preserve"> grâce à 180 000 euros propres, en l’absence d’indication les fonds supplémentaires sont présumés communs</w:t>
      </w:r>
      <w:r w:rsidR="001D11CC">
        <w:rPr>
          <w:sz w:val="24"/>
        </w:rPr>
        <w:t xml:space="preserve"> (article 1402 du Code civil)</w:t>
      </w:r>
      <w:r>
        <w:rPr>
          <w:sz w:val="24"/>
        </w:rPr>
        <w:t xml:space="preserve"> soit 220 000 – 180 000 = 40 000 euros. Par conséquent, la communauté qui a financé l’acquisition d’un bien propre a droit à récompense (article 1437 du Code civil).</w:t>
      </w:r>
    </w:p>
    <w:p w:rsidR="00E568DE" w:rsidRDefault="00E568DE" w:rsidP="009F5319">
      <w:pPr>
        <w:jc w:val="both"/>
        <w:rPr>
          <w:sz w:val="24"/>
        </w:rPr>
      </w:pPr>
      <w:r>
        <w:rPr>
          <w:sz w:val="24"/>
        </w:rPr>
        <w:t>DF= 40 000</w:t>
      </w:r>
    </w:p>
    <w:p w:rsidR="00E568DE" w:rsidRPr="009F5319" w:rsidRDefault="00E568DE" w:rsidP="009F5319">
      <w:pPr>
        <w:jc w:val="both"/>
        <w:rPr>
          <w:sz w:val="24"/>
        </w:rPr>
      </w:pPr>
      <w:r>
        <w:rPr>
          <w:sz w:val="24"/>
        </w:rPr>
        <w:t>PS = 40 000/220 000 X 230 000 = 41 818,1 euros</w:t>
      </w:r>
    </w:p>
    <w:p w:rsidR="00E33DD0" w:rsidRDefault="00E568DE" w:rsidP="00E568DE">
      <w:pPr>
        <w:jc w:val="both"/>
        <w:rPr>
          <w:sz w:val="24"/>
        </w:rPr>
      </w:pPr>
      <w:r>
        <w:rPr>
          <w:sz w:val="24"/>
        </w:rPr>
        <w:t>La dépense ayant permis l’acquisition d’un bien, la récompense ne peut être moindre que le profit subsistant en application de l’article 1469 alinéa 3 du Code civil et est donc égale à 41 818 euros.</w:t>
      </w:r>
    </w:p>
    <w:p w:rsidR="00E568DE" w:rsidRDefault="00E568DE" w:rsidP="00E568DE">
      <w:pPr>
        <w:jc w:val="both"/>
        <w:rPr>
          <w:sz w:val="24"/>
        </w:rPr>
      </w:pPr>
    </w:p>
    <w:p w:rsidR="00E568DE" w:rsidRPr="00B15867" w:rsidRDefault="00E568DE" w:rsidP="00E568DE">
      <w:pPr>
        <w:jc w:val="both"/>
        <w:rPr>
          <w:b/>
          <w:sz w:val="24"/>
        </w:rPr>
      </w:pPr>
      <w:r w:rsidRPr="00B15867">
        <w:rPr>
          <w:b/>
          <w:sz w:val="24"/>
        </w:rPr>
        <w:t>4)  Le studio à Courchevel</w:t>
      </w:r>
    </w:p>
    <w:p w:rsidR="00E568DE" w:rsidRDefault="00E568DE" w:rsidP="00E568DE">
      <w:pPr>
        <w:jc w:val="both"/>
        <w:rPr>
          <w:sz w:val="24"/>
        </w:rPr>
      </w:pPr>
    </w:p>
    <w:p w:rsidR="00E568DE" w:rsidRDefault="00E568DE" w:rsidP="00E568DE">
      <w:pPr>
        <w:jc w:val="both"/>
        <w:rPr>
          <w:sz w:val="24"/>
        </w:rPr>
      </w:pPr>
      <w:r>
        <w:rPr>
          <w:sz w:val="24"/>
        </w:rPr>
        <w:tab/>
        <w:t>Le studio à Montpellier reçu par donation de ses parents était un bien propre de Jeanne en application de l’article 1405 alinéa 1</w:t>
      </w:r>
      <w:r w:rsidRPr="00E568DE">
        <w:rPr>
          <w:sz w:val="24"/>
          <w:vertAlign w:val="superscript"/>
        </w:rPr>
        <w:t>er</w:t>
      </w:r>
      <w:r>
        <w:rPr>
          <w:sz w:val="24"/>
        </w:rPr>
        <w:t xml:space="preserve"> du Code civil.</w:t>
      </w:r>
    </w:p>
    <w:p w:rsidR="00E568DE" w:rsidRDefault="00E568DE" w:rsidP="00E568DE">
      <w:pPr>
        <w:jc w:val="both"/>
        <w:rPr>
          <w:sz w:val="24"/>
        </w:rPr>
      </w:pPr>
      <w:r>
        <w:rPr>
          <w:sz w:val="24"/>
        </w:rPr>
        <w:t>En 2018, en cours de régime, elle procéda à un échange.</w:t>
      </w:r>
    </w:p>
    <w:p w:rsidR="00E568DE" w:rsidRDefault="00E568DE" w:rsidP="00E568DE">
      <w:pPr>
        <w:jc w:val="both"/>
        <w:rPr>
          <w:sz w:val="24"/>
        </w:rPr>
      </w:pPr>
      <w:r>
        <w:rPr>
          <w:sz w:val="24"/>
        </w:rPr>
        <w:t>La valeur du bien acquis était alors de 300 000 euros et la soulte versée de 180 000 euros. Pa</w:t>
      </w:r>
      <w:r w:rsidR="00F90A2E">
        <w:rPr>
          <w:sz w:val="24"/>
        </w:rPr>
        <w:t>r conséquent, la soulte est</w:t>
      </w:r>
      <w:r>
        <w:rPr>
          <w:sz w:val="24"/>
        </w:rPr>
        <w:t xml:space="preserve"> su</w:t>
      </w:r>
      <w:r w:rsidR="00F90A2E">
        <w:rPr>
          <w:sz w:val="24"/>
        </w:rPr>
        <w:t>périeure à la valeur du bien échang</w:t>
      </w:r>
      <w:r w:rsidR="00DD15BF">
        <w:rPr>
          <w:sz w:val="24"/>
        </w:rPr>
        <w:t xml:space="preserve">é : </w:t>
      </w:r>
      <w:r>
        <w:rPr>
          <w:sz w:val="24"/>
        </w:rPr>
        <w:t>300</w:t>
      </w:r>
      <w:r w:rsidR="00DD15BF">
        <w:rPr>
          <w:sz w:val="24"/>
        </w:rPr>
        <w:t> </w:t>
      </w:r>
      <w:r>
        <w:rPr>
          <w:sz w:val="24"/>
        </w:rPr>
        <w:t>000</w:t>
      </w:r>
      <w:r w:rsidR="00DD15BF">
        <w:rPr>
          <w:sz w:val="24"/>
        </w:rPr>
        <w:t xml:space="preserve"> (bien acquis)</w:t>
      </w:r>
      <w:r>
        <w:rPr>
          <w:sz w:val="24"/>
        </w:rPr>
        <w:t xml:space="preserve"> – 180</w:t>
      </w:r>
      <w:r w:rsidR="00DD15BF">
        <w:rPr>
          <w:sz w:val="24"/>
        </w:rPr>
        <w:t> </w:t>
      </w:r>
      <w:r>
        <w:rPr>
          <w:sz w:val="24"/>
        </w:rPr>
        <w:t>000</w:t>
      </w:r>
      <w:r w:rsidR="00DD15BF">
        <w:rPr>
          <w:sz w:val="24"/>
        </w:rPr>
        <w:t xml:space="preserve"> (soulte)</w:t>
      </w:r>
      <w:r>
        <w:rPr>
          <w:sz w:val="24"/>
        </w:rPr>
        <w:t xml:space="preserve"> = 120</w:t>
      </w:r>
      <w:r w:rsidR="00DD15BF">
        <w:rPr>
          <w:sz w:val="24"/>
        </w:rPr>
        <w:t> </w:t>
      </w:r>
      <w:r>
        <w:rPr>
          <w:sz w:val="24"/>
        </w:rPr>
        <w:t>000</w:t>
      </w:r>
      <w:r w:rsidR="000A4C60">
        <w:rPr>
          <w:sz w:val="24"/>
        </w:rPr>
        <w:t xml:space="preserve"> </w:t>
      </w:r>
      <w:r w:rsidR="00DD15BF">
        <w:rPr>
          <w:sz w:val="24"/>
        </w:rPr>
        <w:t>(bien échangé). A</w:t>
      </w:r>
      <w:r>
        <w:rPr>
          <w:sz w:val="24"/>
        </w:rPr>
        <w:t>ussi</w:t>
      </w:r>
      <w:r w:rsidR="00DD15BF">
        <w:rPr>
          <w:sz w:val="24"/>
        </w:rPr>
        <w:t>,</w:t>
      </w:r>
      <w:r>
        <w:rPr>
          <w:sz w:val="24"/>
        </w:rPr>
        <w:t xml:space="preserve"> en application de l’article 140</w:t>
      </w:r>
      <w:r w:rsidR="00A53BFF">
        <w:rPr>
          <w:sz w:val="24"/>
        </w:rPr>
        <w:t>7</w:t>
      </w:r>
      <w:r>
        <w:rPr>
          <w:sz w:val="24"/>
        </w:rPr>
        <w:t xml:space="preserve"> alinéa 2, le chalet est un bien commun.</w:t>
      </w:r>
    </w:p>
    <w:p w:rsidR="00B15867" w:rsidRDefault="00B15867" w:rsidP="00E568DE">
      <w:pPr>
        <w:jc w:val="both"/>
        <w:rPr>
          <w:sz w:val="24"/>
        </w:rPr>
      </w:pPr>
      <w:r>
        <w:rPr>
          <w:sz w:val="24"/>
        </w:rPr>
        <w:t>Le studio de Courchevel acheté durant le régime à l’aide de fonds communs (par subrogation car iss</w:t>
      </w:r>
      <w:r w:rsidR="00DD15BF">
        <w:rPr>
          <w:sz w:val="24"/>
        </w:rPr>
        <w:t>us de la vente du chalet</w:t>
      </w:r>
      <w:r w:rsidR="0021366D">
        <w:rPr>
          <w:sz w:val="24"/>
        </w:rPr>
        <w:t xml:space="preserve"> commun</w:t>
      </w:r>
      <w:r>
        <w:rPr>
          <w:sz w:val="24"/>
        </w:rPr>
        <w:t>) est donc un bien commun (article 1401 du Code civil).</w:t>
      </w:r>
    </w:p>
    <w:p w:rsidR="00B15867" w:rsidRDefault="00B15867" w:rsidP="00E568DE">
      <w:pPr>
        <w:jc w:val="both"/>
        <w:rPr>
          <w:sz w:val="24"/>
        </w:rPr>
      </w:pPr>
    </w:p>
    <w:p w:rsidR="00B15867" w:rsidRDefault="00B15867" w:rsidP="00E568DE">
      <w:pPr>
        <w:jc w:val="both"/>
        <w:rPr>
          <w:sz w:val="24"/>
        </w:rPr>
      </w:pPr>
      <w:r>
        <w:rPr>
          <w:sz w:val="24"/>
        </w:rPr>
        <w:tab/>
        <w:t>En raison de l’échange d’un bien propre pour acquérir un bien commun, la communauté doit récompense à madame.</w:t>
      </w:r>
    </w:p>
    <w:p w:rsidR="00B15867" w:rsidRDefault="00B15867" w:rsidP="00E568DE">
      <w:pPr>
        <w:jc w:val="both"/>
        <w:rPr>
          <w:sz w:val="24"/>
        </w:rPr>
      </w:pPr>
      <w:r>
        <w:rPr>
          <w:sz w:val="24"/>
        </w:rPr>
        <w:t>Dépense faite : 120 000 euros.</w:t>
      </w:r>
    </w:p>
    <w:p w:rsidR="00B15867" w:rsidRDefault="00B15867" w:rsidP="00B15867">
      <w:pPr>
        <w:jc w:val="both"/>
        <w:rPr>
          <w:sz w:val="24"/>
        </w:rPr>
      </w:pPr>
      <w:r>
        <w:rPr>
          <w:sz w:val="24"/>
        </w:rPr>
        <w:t>Le bien financé étant sorti du patrimoine, l’article 1469 alinéa 3 impose de calculer le profit subsistant à l’égard du bien subrogé. Il faudra alors tenir compte du prorata dans lequel le premier bien a per</w:t>
      </w:r>
      <w:r w:rsidR="00F90A2E">
        <w:rPr>
          <w:sz w:val="24"/>
        </w:rPr>
        <w:t>mis le financement du second. En revanche, la</w:t>
      </w:r>
      <w:r>
        <w:rPr>
          <w:sz w:val="24"/>
        </w:rPr>
        <w:t xml:space="preserve"> valeur prise par le </w:t>
      </w:r>
      <w:r w:rsidR="00F90A2E">
        <w:rPr>
          <w:sz w:val="24"/>
        </w:rPr>
        <w:t xml:space="preserve">bien </w:t>
      </w:r>
      <w:r>
        <w:rPr>
          <w:sz w:val="24"/>
        </w:rPr>
        <w:t>une fois sorti du</w:t>
      </w:r>
      <w:r w:rsidR="00F90A2E">
        <w:rPr>
          <w:sz w:val="24"/>
        </w:rPr>
        <w:t xml:space="preserve"> patrimoine des époux n’a </w:t>
      </w:r>
      <w:r>
        <w:rPr>
          <w:sz w:val="24"/>
        </w:rPr>
        <w:t>aucune incidence.</w:t>
      </w:r>
    </w:p>
    <w:p w:rsidR="00B15867" w:rsidRDefault="00B15867" w:rsidP="00E568DE">
      <w:pPr>
        <w:jc w:val="both"/>
        <w:rPr>
          <w:sz w:val="24"/>
        </w:rPr>
      </w:pPr>
      <w:r>
        <w:rPr>
          <w:sz w:val="24"/>
        </w:rPr>
        <w:t>Profit subsistant : 120 000 / 300 000 X 350 000 / 600 000 X 610 000 = 142 333, 3</w:t>
      </w:r>
    </w:p>
    <w:p w:rsidR="00B15867" w:rsidRDefault="00B15867" w:rsidP="00E568DE">
      <w:pPr>
        <w:jc w:val="both"/>
        <w:rPr>
          <w:sz w:val="24"/>
        </w:rPr>
      </w:pPr>
    </w:p>
    <w:p w:rsidR="00B15867" w:rsidRDefault="00B15867" w:rsidP="00E568DE">
      <w:pPr>
        <w:jc w:val="both"/>
        <w:rPr>
          <w:sz w:val="24"/>
        </w:rPr>
      </w:pPr>
      <w:r>
        <w:rPr>
          <w:sz w:val="24"/>
        </w:rPr>
        <w:tab/>
        <w:t>L’acquisition du studio commun de Courchevel fut financée par une somme commune (car is</w:t>
      </w:r>
      <w:r w:rsidR="00DD15BF">
        <w:rPr>
          <w:sz w:val="24"/>
        </w:rPr>
        <w:t>sue de la vente d’un bien commun</w:t>
      </w:r>
      <w:r>
        <w:rPr>
          <w:sz w:val="24"/>
        </w:rPr>
        <w:t>) et pour le complément, en l’absence de précision, par des sommes présumées communes (article 1402 du Code civil). Ce bien commun ayant été exclusivement financé par des sommes communes, aucune récompense n’est due.</w:t>
      </w:r>
    </w:p>
    <w:p w:rsidR="00B15867" w:rsidRDefault="00B15867" w:rsidP="00E568DE">
      <w:pPr>
        <w:jc w:val="both"/>
        <w:rPr>
          <w:sz w:val="24"/>
        </w:rPr>
      </w:pPr>
    </w:p>
    <w:p w:rsidR="00B15867" w:rsidRPr="00847E75" w:rsidRDefault="00B15867" w:rsidP="00E568DE">
      <w:pPr>
        <w:jc w:val="both"/>
        <w:rPr>
          <w:b/>
          <w:sz w:val="24"/>
        </w:rPr>
      </w:pPr>
      <w:r w:rsidRPr="00847E75">
        <w:rPr>
          <w:b/>
          <w:sz w:val="24"/>
        </w:rPr>
        <w:t>5)  Le bureau acheté aux enchères en 2023</w:t>
      </w:r>
    </w:p>
    <w:p w:rsidR="00B15867" w:rsidRDefault="00B15867" w:rsidP="00E568DE">
      <w:pPr>
        <w:jc w:val="both"/>
        <w:rPr>
          <w:sz w:val="24"/>
        </w:rPr>
      </w:pPr>
    </w:p>
    <w:p w:rsidR="00F90A2E" w:rsidRDefault="00B15867" w:rsidP="00E568DE">
      <w:pPr>
        <w:jc w:val="both"/>
        <w:rPr>
          <w:sz w:val="24"/>
        </w:rPr>
      </w:pPr>
      <w:r>
        <w:rPr>
          <w:sz w:val="24"/>
        </w:rPr>
        <w:tab/>
        <w:t xml:space="preserve">Acquis durant le régime, ce bien est commun en application de l’article 1401 du Code civil. </w:t>
      </w:r>
      <w:r w:rsidR="00F90A2E">
        <w:rPr>
          <w:sz w:val="24"/>
        </w:rPr>
        <w:t>Si ce bien</w:t>
      </w:r>
      <w:r w:rsidR="005E3182">
        <w:rPr>
          <w:sz w:val="24"/>
        </w:rPr>
        <w:t xml:space="preserve"> est utilisé, par plaisir et à l’occasion, par Rémy pour travailler, ce goût ne parait pas permettre de le qualifier d’instrument </w:t>
      </w:r>
      <w:r w:rsidR="00F90A2E">
        <w:rPr>
          <w:sz w:val="24"/>
        </w:rPr>
        <w:t xml:space="preserve">« nécessaire » à la profession. En effet, cette qualification </w:t>
      </w:r>
      <w:r w:rsidR="005E3182">
        <w:rPr>
          <w:sz w:val="24"/>
        </w:rPr>
        <w:t>étant une exception au principe de l’article 1401 du Code civil</w:t>
      </w:r>
      <w:r w:rsidR="00F90A2E">
        <w:rPr>
          <w:sz w:val="24"/>
        </w:rPr>
        <w:t>, elle</w:t>
      </w:r>
      <w:r w:rsidR="005E3182">
        <w:rPr>
          <w:sz w:val="24"/>
        </w:rPr>
        <w:t xml:space="preserve"> doit être entendue strictement. </w:t>
      </w:r>
      <w:r w:rsidR="00F90A2E">
        <w:rPr>
          <w:sz w:val="24"/>
        </w:rPr>
        <w:t>Or, la lettre du texte en employant le terme « nécessaire » parait exiger que le bien soit indispensable à la réalisation du travail de l’époux concerné, ce qui n’est pas le cas de ce bien.</w:t>
      </w:r>
    </w:p>
    <w:p w:rsidR="00B15867" w:rsidRDefault="00F90A2E" w:rsidP="00E568DE">
      <w:pPr>
        <w:jc w:val="both"/>
        <w:rPr>
          <w:sz w:val="24"/>
        </w:rPr>
      </w:pPr>
      <w:r>
        <w:rPr>
          <w:sz w:val="24"/>
        </w:rPr>
        <w:tab/>
        <w:t>Ce bureau, bien commun</w:t>
      </w:r>
      <w:r w:rsidR="00B15867">
        <w:rPr>
          <w:sz w:val="24"/>
        </w:rPr>
        <w:t xml:space="preserve"> a été </w:t>
      </w:r>
      <w:r w:rsidR="00847E75">
        <w:rPr>
          <w:sz w:val="24"/>
        </w:rPr>
        <w:t xml:space="preserve">entièrement </w:t>
      </w:r>
      <w:r w:rsidR="00B15867">
        <w:rPr>
          <w:sz w:val="24"/>
        </w:rPr>
        <w:t xml:space="preserve">financé par des loyers d’un bien propre qui sont des biens communs (article 1401 du Code civil, </w:t>
      </w:r>
      <w:r w:rsidR="00847E75">
        <w:rPr>
          <w:sz w:val="24"/>
        </w:rPr>
        <w:t>Cass. 1</w:t>
      </w:r>
      <w:r w:rsidR="00847E75" w:rsidRPr="00847E75">
        <w:rPr>
          <w:sz w:val="24"/>
          <w:vertAlign w:val="superscript"/>
        </w:rPr>
        <w:t>ère</w:t>
      </w:r>
      <w:r w:rsidR="00847E75">
        <w:rPr>
          <w:sz w:val="24"/>
        </w:rPr>
        <w:t xml:space="preserve"> civ., 31 mars 1992). En l’absence de flux entre des masses différentes, aucune récompense n’est due.</w:t>
      </w:r>
    </w:p>
    <w:p w:rsidR="00847E75" w:rsidRDefault="00847E75" w:rsidP="00E568DE">
      <w:pPr>
        <w:jc w:val="both"/>
        <w:rPr>
          <w:sz w:val="24"/>
        </w:rPr>
      </w:pPr>
    </w:p>
    <w:p w:rsidR="00847E75" w:rsidRPr="00847E75" w:rsidRDefault="00847E75" w:rsidP="00E568DE">
      <w:pPr>
        <w:jc w:val="both"/>
        <w:rPr>
          <w:b/>
          <w:sz w:val="24"/>
        </w:rPr>
      </w:pPr>
      <w:r w:rsidRPr="00847E75">
        <w:rPr>
          <w:b/>
          <w:sz w:val="24"/>
        </w:rPr>
        <w:t>6) Les tailleurs bleus</w:t>
      </w:r>
    </w:p>
    <w:p w:rsidR="00847E75" w:rsidRDefault="00847E75" w:rsidP="00E568DE">
      <w:pPr>
        <w:jc w:val="both"/>
        <w:rPr>
          <w:sz w:val="24"/>
        </w:rPr>
      </w:pPr>
    </w:p>
    <w:p w:rsidR="00847E75" w:rsidRDefault="00847E75" w:rsidP="00E568DE">
      <w:pPr>
        <w:jc w:val="both"/>
        <w:rPr>
          <w:sz w:val="24"/>
        </w:rPr>
      </w:pPr>
      <w:r>
        <w:rPr>
          <w:sz w:val="24"/>
        </w:rPr>
        <w:tab/>
        <w:t>Vêtement à l’usage de madame, les tailleurs sont des propres de Jeanne en raison du lien fort qui les unit à sa personne, en vertu de l’article 1404 du Code civil. Par comparaison avec l’alinéa 2 du texte, il est déduit qu’en l’absence de précision, aucune récompense n’est due pour l’acquisition des effets personnels.</w:t>
      </w:r>
    </w:p>
    <w:p w:rsidR="00847E75" w:rsidRDefault="00847E75" w:rsidP="00E568DE">
      <w:pPr>
        <w:jc w:val="both"/>
        <w:rPr>
          <w:sz w:val="24"/>
        </w:rPr>
      </w:pPr>
      <w:r>
        <w:rPr>
          <w:sz w:val="24"/>
        </w:rPr>
        <w:tab/>
        <w:t>NB Il était envisageable de soutenir que ces vêtements constituaient un instrument de travail nécessaire à la professio</w:t>
      </w:r>
      <w:r w:rsidR="00DD15BF">
        <w:rPr>
          <w:sz w:val="24"/>
        </w:rPr>
        <w:t xml:space="preserve">n de madame, car les porter </w:t>
      </w:r>
      <w:r>
        <w:rPr>
          <w:sz w:val="24"/>
        </w:rPr>
        <w:t>semblait lui octroyer un supplément de confiance</w:t>
      </w:r>
      <w:r w:rsidR="00F90A2E">
        <w:rPr>
          <w:sz w:val="24"/>
        </w:rPr>
        <w:t xml:space="preserve"> et qu’assister à certains conseils d’administration peut exiger de se plier à un conformisme vestimentaire</w:t>
      </w:r>
      <w:r>
        <w:rPr>
          <w:sz w:val="24"/>
        </w:rPr>
        <w:t>. A condition d’étayer cette qualification, il était possible d’appliquer l’alinéa 2 et de reconnaitre une récompense à la communauté pou</w:t>
      </w:r>
      <w:r w:rsidR="00DD15BF">
        <w:rPr>
          <w:sz w:val="24"/>
        </w:rPr>
        <w:t>r avoir financé (en application de la présomption de l’article 1402 du Code civil) ces biens propre</w:t>
      </w:r>
      <w:r>
        <w:rPr>
          <w:sz w:val="24"/>
        </w:rPr>
        <w:t>s.</w:t>
      </w:r>
    </w:p>
    <w:p w:rsidR="005E3182" w:rsidRDefault="005E3182" w:rsidP="00E568DE">
      <w:pPr>
        <w:jc w:val="both"/>
        <w:rPr>
          <w:sz w:val="24"/>
        </w:rPr>
      </w:pPr>
    </w:p>
    <w:p w:rsidR="005E3182" w:rsidRPr="005E3182" w:rsidRDefault="005E3182" w:rsidP="00E568DE">
      <w:pPr>
        <w:jc w:val="both"/>
        <w:rPr>
          <w:b/>
          <w:sz w:val="24"/>
        </w:rPr>
      </w:pPr>
      <w:r w:rsidRPr="005E3182">
        <w:rPr>
          <w:b/>
          <w:sz w:val="24"/>
        </w:rPr>
        <w:t>7) Les biens dont l’origine n’est pas indiquée</w:t>
      </w:r>
    </w:p>
    <w:p w:rsidR="005E3182" w:rsidRDefault="005E3182" w:rsidP="00E568DE">
      <w:pPr>
        <w:jc w:val="both"/>
        <w:rPr>
          <w:sz w:val="24"/>
        </w:rPr>
      </w:pPr>
    </w:p>
    <w:p w:rsidR="005E3182" w:rsidRDefault="005E3182" w:rsidP="00E568DE">
      <w:pPr>
        <w:jc w:val="both"/>
        <w:rPr>
          <w:sz w:val="24"/>
        </w:rPr>
      </w:pPr>
      <w:r>
        <w:rPr>
          <w:sz w:val="24"/>
        </w:rPr>
        <w:tab/>
        <w:t>Les voitures, les meubles meublants, les comptes bancaires dont l’origine n’est pas indiquée sont présumés communs en application de l’article 1402 du Code civil.</w:t>
      </w:r>
      <w:r w:rsidR="006C406F">
        <w:rPr>
          <w:sz w:val="24"/>
        </w:rPr>
        <w:t xml:space="preserve"> En ce qui concerne le bon état des meubles meublants dû aux soins de Rémy, cette industrie personnelle ne donne pas lieu à récompense puisqu’il s’agit d’un travail réalisé en faveur de la communauté durant le régime (Cass. 1</w:t>
      </w:r>
      <w:r w:rsidR="006C406F" w:rsidRPr="006A7600">
        <w:rPr>
          <w:sz w:val="24"/>
          <w:vertAlign w:val="superscript"/>
        </w:rPr>
        <w:t>ère</w:t>
      </w:r>
      <w:r w:rsidR="006C406F">
        <w:rPr>
          <w:sz w:val="24"/>
        </w:rPr>
        <w:t xml:space="preserve"> civ., 18 nov. 1997)</w:t>
      </w:r>
    </w:p>
    <w:p w:rsidR="005E3182" w:rsidRDefault="005E3182" w:rsidP="00E568DE">
      <w:pPr>
        <w:jc w:val="both"/>
        <w:rPr>
          <w:sz w:val="24"/>
        </w:rPr>
      </w:pPr>
    </w:p>
    <w:p w:rsidR="005E3182" w:rsidRPr="00D63BD4" w:rsidRDefault="005E3182" w:rsidP="00E568DE">
      <w:pPr>
        <w:jc w:val="both"/>
        <w:rPr>
          <w:b/>
          <w:sz w:val="24"/>
        </w:rPr>
      </w:pPr>
      <w:r>
        <w:rPr>
          <w:sz w:val="24"/>
        </w:rPr>
        <w:tab/>
      </w:r>
      <w:r w:rsidRPr="00D63BD4">
        <w:rPr>
          <w:b/>
          <w:sz w:val="24"/>
        </w:rPr>
        <w:t>B) Le passif</w:t>
      </w:r>
    </w:p>
    <w:p w:rsidR="005E3182" w:rsidRDefault="005E3182" w:rsidP="00E568DE">
      <w:pPr>
        <w:jc w:val="both"/>
        <w:rPr>
          <w:sz w:val="24"/>
        </w:rPr>
      </w:pPr>
    </w:p>
    <w:p w:rsidR="00D63BD4" w:rsidRDefault="00D63BD4" w:rsidP="00E568DE">
      <w:pPr>
        <w:jc w:val="both"/>
        <w:rPr>
          <w:sz w:val="24"/>
        </w:rPr>
      </w:pPr>
      <w:r>
        <w:rPr>
          <w:sz w:val="24"/>
        </w:rPr>
        <w:tab/>
        <w:t>Le solde restant dû à la Caisse d’épargne est une dette née durant le régime, en application de l’article 1409 deuxième tiré, elle est à la charge de la communauté. Ayant permis l’acquisition d’un bien commun, elle est à sa charge sans récompense et figure donc dans son passif définitif.</w:t>
      </w:r>
    </w:p>
    <w:p w:rsidR="00C63427" w:rsidRDefault="00C63427" w:rsidP="00E568DE">
      <w:pPr>
        <w:jc w:val="both"/>
        <w:rPr>
          <w:sz w:val="24"/>
        </w:rPr>
      </w:pPr>
    </w:p>
    <w:p w:rsidR="00C63427" w:rsidRPr="008D6202" w:rsidRDefault="00C63427" w:rsidP="00C63427">
      <w:pPr>
        <w:ind w:firstLine="709"/>
        <w:jc w:val="both"/>
        <w:rPr>
          <w:b/>
          <w:sz w:val="24"/>
          <w:u w:val="single"/>
        </w:rPr>
      </w:pPr>
      <w:r>
        <w:rPr>
          <w:b/>
          <w:sz w:val="24"/>
          <w:u w:val="single"/>
        </w:rPr>
        <w:t>C</w:t>
      </w:r>
      <w:r w:rsidRPr="008D6202">
        <w:rPr>
          <w:b/>
          <w:sz w:val="24"/>
          <w:u w:val="single"/>
        </w:rPr>
        <w:t>) Les comptes de récompenses</w:t>
      </w:r>
    </w:p>
    <w:p w:rsidR="00C63427" w:rsidRPr="007A7829" w:rsidRDefault="00C63427" w:rsidP="00C63427">
      <w:pPr>
        <w:ind w:firstLine="709"/>
        <w:jc w:val="both"/>
        <w:rPr>
          <w:sz w:val="24"/>
          <w:u w:val="single"/>
        </w:rPr>
      </w:pPr>
    </w:p>
    <w:p w:rsidR="00C63427" w:rsidRPr="00CE6FE3" w:rsidRDefault="00C63427" w:rsidP="00C63427">
      <w:pPr>
        <w:ind w:firstLine="709"/>
        <w:jc w:val="both"/>
        <w:rPr>
          <w:sz w:val="24"/>
        </w:rPr>
      </w:pPr>
    </w:p>
    <w:p w:rsidR="00C63427" w:rsidRPr="00CE6FE3" w:rsidRDefault="00C63427" w:rsidP="00C63427">
      <w:pPr>
        <w:ind w:firstLine="709"/>
        <w:jc w:val="both"/>
        <w:rPr>
          <w:sz w:val="24"/>
        </w:rPr>
      </w:pPr>
      <w:r w:rsidRPr="00CE6FE3">
        <w:rPr>
          <w:sz w:val="24"/>
        </w:rPr>
        <w:t xml:space="preserve">Monsieur                  </w:t>
      </w:r>
      <w:r>
        <w:rPr>
          <w:sz w:val="24"/>
        </w:rPr>
        <w:tab/>
      </w:r>
      <w:r>
        <w:rPr>
          <w:sz w:val="24"/>
        </w:rPr>
        <w:tab/>
      </w:r>
      <w:r>
        <w:rPr>
          <w:sz w:val="24"/>
        </w:rPr>
        <w:tab/>
      </w:r>
      <w:r>
        <w:rPr>
          <w:sz w:val="24"/>
        </w:rPr>
        <w:tab/>
      </w:r>
      <w:r w:rsidRPr="00CE6FE3">
        <w:rPr>
          <w:sz w:val="24"/>
        </w:rPr>
        <w:t xml:space="preserve"> Madame</w:t>
      </w:r>
    </w:p>
    <w:p w:rsidR="00C63427" w:rsidRPr="00CE6FE3" w:rsidRDefault="00C63427" w:rsidP="00C63427">
      <w:pPr>
        <w:jc w:val="both"/>
        <w:rPr>
          <w:sz w:val="24"/>
        </w:rPr>
      </w:pPr>
    </w:p>
    <w:p w:rsidR="00C63427" w:rsidRPr="00CE6FE3" w:rsidRDefault="00C63427" w:rsidP="00C63427">
      <w:pPr>
        <w:jc w:val="both"/>
        <w:rPr>
          <w:sz w:val="24"/>
        </w:rPr>
      </w:pPr>
      <w:r>
        <w:rPr>
          <w:noProof/>
          <w:sz w:val="24"/>
        </w:rPr>
        <mc:AlternateContent>
          <mc:Choice Requires="wps">
            <w:drawing>
              <wp:anchor distT="0" distB="0" distL="114300" distR="114300" simplePos="0" relativeHeight="251663360" behindDoc="0" locked="0" layoutInCell="1" allowOverlap="1" wp14:anchorId="69F35893" wp14:editId="3799E648">
                <wp:simplePos x="0" y="0"/>
                <wp:positionH relativeFrom="column">
                  <wp:posOffset>3469647</wp:posOffset>
                </wp:positionH>
                <wp:positionV relativeFrom="paragraph">
                  <wp:posOffset>53436</wp:posOffset>
                </wp:positionV>
                <wp:extent cx="5787" cy="763930"/>
                <wp:effectExtent l="0" t="0" r="32385" b="36195"/>
                <wp:wrapNone/>
                <wp:docPr id="3" name="Connecteur droit 3"/>
                <wp:cNvGraphicFramePr/>
                <a:graphic xmlns:a="http://schemas.openxmlformats.org/drawingml/2006/main">
                  <a:graphicData uri="http://schemas.microsoft.com/office/word/2010/wordprocessingShape">
                    <wps:wsp>
                      <wps:cNvCnPr/>
                      <wps:spPr>
                        <a:xfrm>
                          <a:off x="0" y="0"/>
                          <a:ext cx="5787" cy="763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97CBA6"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2pt,4.2pt" to="273.6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" strokecolor="#5b9bd5 [3204]" strokeweight=".5pt">
                <v:stroke joinstyle="miter"/>
              </v:line>
            </w:pict>
          </mc:Fallback>
        </mc:AlternateContent>
      </w:r>
      <w:r w:rsidRPr="00CE6FE3">
        <w:rPr>
          <w:sz w:val="24"/>
        </w:rPr>
        <w:t xml:space="preserve"> </w:t>
      </w:r>
      <w:r>
        <w:rPr>
          <w:sz w:val="24"/>
        </w:rPr>
        <w:t>dues par Mr</w:t>
      </w:r>
      <w:r>
        <w:rPr>
          <w:sz w:val="24"/>
        </w:rPr>
        <w:tab/>
      </w:r>
      <w:r>
        <w:rPr>
          <w:sz w:val="24"/>
        </w:rPr>
        <w:tab/>
        <w:t>dues à Mr</w:t>
      </w:r>
      <w:r>
        <w:rPr>
          <w:sz w:val="24"/>
        </w:rPr>
        <w:tab/>
        <w:t xml:space="preserve">      dues par Mme</w:t>
      </w:r>
      <w:r>
        <w:rPr>
          <w:sz w:val="24"/>
        </w:rPr>
        <w:tab/>
        <w:t>dues à Mme</w:t>
      </w:r>
    </w:p>
    <w:p w:rsidR="00C63427" w:rsidRDefault="00C63427" w:rsidP="00C63427">
      <w:pPr>
        <w:jc w:val="both"/>
        <w:rPr>
          <w:sz w:val="24"/>
        </w:rPr>
      </w:pPr>
      <w:r>
        <w:rPr>
          <w:noProof/>
          <w:sz w:val="24"/>
        </w:rPr>
        <mc:AlternateContent>
          <mc:Choice Requires="wps">
            <w:drawing>
              <wp:anchor distT="0" distB="0" distL="114300" distR="114300" simplePos="0" relativeHeight="251662336" behindDoc="0" locked="0" layoutInCell="1" allowOverlap="1" wp14:anchorId="26241AB2" wp14:editId="5220DD87">
                <wp:simplePos x="0" y="0"/>
                <wp:positionH relativeFrom="column">
                  <wp:posOffset>1011555</wp:posOffset>
                </wp:positionH>
                <wp:positionV relativeFrom="paragraph">
                  <wp:posOffset>3176</wp:posOffset>
                </wp:positionV>
                <wp:extent cx="6350" cy="806450"/>
                <wp:effectExtent l="0" t="0" r="31750" b="31750"/>
                <wp:wrapNone/>
                <wp:docPr id="4" name="Connecteur droit 4"/>
                <wp:cNvGraphicFramePr/>
                <a:graphic xmlns:a="http://schemas.openxmlformats.org/drawingml/2006/main">
                  <a:graphicData uri="http://schemas.microsoft.com/office/word/2010/wordprocessingShape">
                    <wps:wsp>
                      <wps:cNvCnPr/>
                      <wps:spPr>
                        <a:xfrm>
                          <a:off x="0" y="0"/>
                          <a:ext cx="6350" cy="806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B23D44"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65pt,.25pt" to="80.1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" strokecolor="#5b9bd5 [3204]" strokeweight=".5pt">
                <v:stroke joinstyle="miter"/>
              </v:line>
            </w:pict>
          </mc:Fallback>
        </mc:AlternateContent>
      </w:r>
      <w:r>
        <w:rPr>
          <w:sz w:val="24"/>
        </w:rPr>
        <w:t>94 091</w:t>
      </w:r>
      <w:r>
        <w:rPr>
          <w:sz w:val="24"/>
        </w:rPr>
        <w:tab/>
      </w:r>
      <w:r w:rsidRPr="00CE6FE3">
        <w:rPr>
          <w:sz w:val="24"/>
        </w:rPr>
        <w:tab/>
      </w:r>
      <w:r w:rsidRPr="00CE6FE3">
        <w:rPr>
          <w:sz w:val="24"/>
        </w:rPr>
        <w:tab/>
      </w:r>
      <w:r w:rsidRPr="00CE6FE3">
        <w:rPr>
          <w:sz w:val="24"/>
        </w:rPr>
        <w:tab/>
      </w:r>
      <w:r w:rsidRPr="00CE6FE3">
        <w:rPr>
          <w:sz w:val="24"/>
        </w:rPr>
        <w:tab/>
      </w:r>
      <w:r>
        <w:rPr>
          <w:sz w:val="24"/>
        </w:rPr>
        <w:t xml:space="preserve">         700 000</w:t>
      </w:r>
      <w:r>
        <w:rPr>
          <w:sz w:val="24"/>
        </w:rPr>
        <w:tab/>
      </w:r>
      <w:r>
        <w:rPr>
          <w:sz w:val="24"/>
        </w:rPr>
        <w:tab/>
        <w:t>142 333</w:t>
      </w:r>
    </w:p>
    <w:p w:rsidR="00C63427" w:rsidRPr="00CE6FE3" w:rsidRDefault="00C63427" w:rsidP="00C63427">
      <w:pPr>
        <w:jc w:val="both"/>
        <w:rPr>
          <w:sz w:val="24"/>
        </w:rPr>
      </w:pPr>
      <w:r>
        <w:rPr>
          <w:sz w:val="24"/>
        </w:rPr>
        <w:t>41 818</w:t>
      </w:r>
      <w:r>
        <w:rPr>
          <w:sz w:val="24"/>
        </w:rPr>
        <w:tab/>
      </w:r>
    </w:p>
    <w:p w:rsidR="00C63427" w:rsidRPr="00CE6FE3" w:rsidRDefault="00C63427" w:rsidP="00C63427">
      <w:pPr>
        <w:jc w:val="both"/>
        <w:rPr>
          <w:sz w:val="24"/>
        </w:rPr>
      </w:pPr>
    </w:p>
    <w:p w:rsidR="00C63427" w:rsidRDefault="00C63427" w:rsidP="00C63427">
      <w:pPr>
        <w:pStyle w:val="Paragraphedeliste"/>
        <w:ind w:left="1080"/>
        <w:jc w:val="both"/>
        <w:rPr>
          <w:sz w:val="24"/>
        </w:rPr>
      </w:pPr>
    </w:p>
    <w:p w:rsidR="00C63427" w:rsidRDefault="00C63427" w:rsidP="00C63427">
      <w:pPr>
        <w:pStyle w:val="Paragraphedeliste"/>
        <w:ind w:left="1080"/>
        <w:jc w:val="both"/>
        <w:rPr>
          <w:sz w:val="24"/>
        </w:rPr>
      </w:pPr>
      <w:r>
        <w:rPr>
          <w:sz w:val="24"/>
        </w:rPr>
        <w:t>-135 909</w:t>
      </w:r>
      <w:r>
        <w:rPr>
          <w:sz w:val="24"/>
        </w:rPr>
        <w:tab/>
      </w:r>
      <w:r>
        <w:rPr>
          <w:sz w:val="24"/>
        </w:rPr>
        <w:tab/>
      </w:r>
      <w:r>
        <w:rPr>
          <w:sz w:val="24"/>
        </w:rPr>
        <w:tab/>
      </w:r>
      <w:r>
        <w:rPr>
          <w:sz w:val="24"/>
        </w:rPr>
        <w:tab/>
      </w:r>
      <w:r>
        <w:rPr>
          <w:sz w:val="24"/>
        </w:rPr>
        <w:tab/>
        <w:t>- 557 667</w:t>
      </w:r>
    </w:p>
    <w:p w:rsidR="00C63427" w:rsidRDefault="00C63427" w:rsidP="00E568DE">
      <w:pPr>
        <w:jc w:val="both"/>
        <w:rPr>
          <w:sz w:val="24"/>
        </w:rPr>
      </w:pPr>
    </w:p>
    <w:p w:rsidR="00847E75" w:rsidRDefault="00847E75" w:rsidP="00E568DE">
      <w:pPr>
        <w:jc w:val="both"/>
        <w:rPr>
          <w:sz w:val="24"/>
        </w:rPr>
      </w:pPr>
    </w:p>
    <w:p w:rsidR="00E33DD0" w:rsidRPr="008D6202" w:rsidRDefault="00C63427" w:rsidP="00E33DD0">
      <w:pPr>
        <w:ind w:firstLine="709"/>
        <w:jc w:val="both"/>
        <w:rPr>
          <w:b/>
          <w:sz w:val="24"/>
          <w:u w:val="single"/>
        </w:rPr>
      </w:pPr>
      <w:r>
        <w:rPr>
          <w:b/>
          <w:sz w:val="24"/>
          <w:u w:val="single"/>
        </w:rPr>
        <w:t>D</w:t>
      </w:r>
      <w:r w:rsidR="00E33DD0" w:rsidRPr="008D6202">
        <w:rPr>
          <w:b/>
          <w:sz w:val="24"/>
          <w:u w:val="single"/>
        </w:rPr>
        <w:t>) Le tableau de répartition des biens</w:t>
      </w:r>
    </w:p>
    <w:p w:rsidR="00E33DD0" w:rsidRPr="008D6202" w:rsidRDefault="00E33DD0" w:rsidP="00E33DD0">
      <w:pPr>
        <w:ind w:firstLine="709"/>
        <w:jc w:val="both"/>
        <w:rPr>
          <w:b/>
          <w:sz w:val="24"/>
        </w:rPr>
      </w:pPr>
    </w:p>
    <w:p w:rsidR="00E33DD0" w:rsidRPr="00CE6FE3" w:rsidRDefault="00E33DD0" w:rsidP="00E33DD0">
      <w:pPr>
        <w:ind w:firstLine="709"/>
        <w:jc w:val="both"/>
        <w:rPr>
          <w:sz w:val="24"/>
        </w:rPr>
      </w:pPr>
    </w:p>
    <w:tbl>
      <w:tblPr>
        <w:tblStyle w:val="Grilledutableau"/>
        <w:tblW w:w="0" w:type="auto"/>
        <w:tblLook w:val="00A0" w:firstRow="1" w:lastRow="0" w:firstColumn="1" w:lastColumn="0" w:noHBand="0" w:noVBand="0"/>
      </w:tblPr>
      <w:tblGrid>
        <w:gridCol w:w="3018"/>
        <w:gridCol w:w="3030"/>
        <w:gridCol w:w="3014"/>
      </w:tblGrid>
      <w:tr w:rsidR="00E33DD0" w:rsidRPr="00CE6FE3" w:rsidTr="0021366D">
        <w:tc>
          <w:tcPr>
            <w:tcW w:w="3018" w:type="dxa"/>
          </w:tcPr>
          <w:p w:rsidR="00E33DD0" w:rsidRPr="00CE6FE3" w:rsidRDefault="00E33DD0" w:rsidP="006A7600">
            <w:pPr>
              <w:jc w:val="both"/>
              <w:rPr>
                <w:sz w:val="24"/>
              </w:rPr>
            </w:pPr>
            <w:r w:rsidRPr="00CE6FE3">
              <w:rPr>
                <w:sz w:val="24"/>
              </w:rPr>
              <w:t>BP monsieur</w:t>
            </w:r>
          </w:p>
        </w:tc>
        <w:tc>
          <w:tcPr>
            <w:tcW w:w="3030" w:type="dxa"/>
          </w:tcPr>
          <w:p w:rsidR="00E33DD0" w:rsidRPr="00CE6FE3" w:rsidRDefault="00E33DD0" w:rsidP="006A7600">
            <w:pPr>
              <w:jc w:val="both"/>
              <w:rPr>
                <w:sz w:val="24"/>
              </w:rPr>
            </w:pPr>
            <w:r w:rsidRPr="00CE6FE3">
              <w:rPr>
                <w:sz w:val="24"/>
              </w:rPr>
              <w:t>BC</w:t>
            </w:r>
          </w:p>
        </w:tc>
        <w:tc>
          <w:tcPr>
            <w:tcW w:w="3014" w:type="dxa"/>
          </w:tcPr>
          <w:p w:rsidR="00E33DD0" w:rsidRPr="00CE6FE3" w:rsidRDefault="00E33DD0" w:rsidP="006A7600">
            <w:pPr>
              <w:jc w:val="both"/>
              <w:rPr>
                <w:sz w:val="24"/>
              </w:rPr>
            </w:pPr>
            <w:r w:rsidRPr="00CE6FE3">
              <w:rPr>
                <w:sz w:val="24"/>
              </w:rPr>
              <w:t>BP madame</w:t>
            </w:r>
          </w:p>
        </w:tc>
      </w:tr>
      <w:tr w:rsidR="00E33DD0" w:rsidRPr="00CE6FE3" w:rsidTr="0021366D">
        <w:tc>
          <w:tcPr>
            <w:tcW w:w="3018" w:type="dxa"/>
          </w:tcPr>
          <w:p w:rsidR="00E33DD0" w:rsidRPr="00CE6FE3" w:rsidRDefault="00E33DD0" w:rsidP="006A7600">
            <w:pPr>
              <w:jc w:val="both"/>
              <w:rPr>
                <w:sz w:val="24"/>
              </w:rPr>
            </w:pPr>
            <w:r>
              <w:rPr>
                <w:sz w:val="24"/>
              </w:rPr>
              <w:t>Immeuble de bureaux 800 000 euros</w:t>
            </w:r>
          </w:p>
        </w:tc>
        <w:tc>
          <w:tcPr>
            <w:tcW w:w="3030" w:type="dxa"/>
          </w:tcPr>
          <w:p w:rsidR="00E33DD0" w:rsidRPr="00CE6FE3" w:rsidRDefault="00E33DD0" w:rsidP="006A7600">
            <w:pPr>
              <w:jc w:val="both"/>
              <w:rPr>
                <w:sz w:val="24"/>
              </w:rPr>
            </w:pPr>
            <w:r>
              <w:rPr>
                <w:sz w:val="24"/>
              </w:rPr>
              <w:t>Appartement parisien : 1 000 000</w:t>
            </w:r>
          </w:p>
        </w:tc>
        <w:tc>
          <w:tcPr>
            <w:tcW w:w="3014" w:type="dxa"/>
          </w:tcPr>
          <w:p w:rsidR="00E33DD0" w:rsidRPr="00CE6FE3" w:rsidRDefault="00FC7790" w:rsidP="006A7600">
            <w:pPr>
              <w:jc w:val="both"/>
              <w:rPr>
                <w:sz w:val="24"/>
              </w:rPr>
            </w:pPr>
            <w:r>
              <w:rPr>
                <w:sz w:val="24"/>
              </w:rPr>
              <w:t>Créance entre époux 10 000</w:t>
            </w:r>
          </w:p>
        </w:tc>
      </w:tr>
      <w:tr w:rsidR="00E33DD0" w:rsidRPr="00CE6FE3" w:rsidTr="0021366D">
        <w:tc>
          <w:tcPr>
            <w:tcW w:w="3018" w:type="dxa"/>
          </w:tcPr>
          <w:p w:rsidR="00E33DD0" w:rsidRPr="00CE6FE3" w:rsidRDefault="00FC7790" w:rsidP="006A7600">
            <w:pPr>
              <w:jc w:val="both"/>
              <w:rPr>
                <w:sz w:val="24"/>
              </w:rPr>
            </w:pPr>
            <w:r>
              <w:rPr>
                <w:sz w:val="24"/>
              </w:rPr>
              <w:t xml:space="preserve">Dette entre époux </w:t>
            </w:r>
            <w:r w:rsidR="006A7600">
              <w:rPr>
                <w:sz w:val="24"/>
              </w:rPr>
              <w:t xml:space="preserve">- </w:t>
            </w:r>
            <w:r>
              <w:rPr>
                <w:sz w:val="24"/>
              </w:rPr>
              <w:t>10 000</w:t>
            </w:r>
          </w:p>
        </w:tc>
        <w:tc>
          <w:tcPr>
            <w:tcW w:w="3030" w:type="dxa"/>
          </w:tcPr>
          <w:p w:rsidR="00E33DD0" w:rsidRPr="00CE6FE3" w:rsidRDefault="00B15867" w:rsidP="006A7600">
            <w:pPr>
              <w:jc w:val="both"/>
              <w:rPr>
                <w:sz w:val="24"/>
              </w:rPr>
            </w:pPr>
            <w:r>
              <w:rPr>
                <w:sz w:val="24"/>
              </w:rPr>
              <w:t>Studio de Courchevel 610 000</w:t>
            </w:r>
          </w:p>
        </w:tc>
        <w:tc>
          <w:tcPr>
            <w:tcW w:w="3014" w:type="dxa"/>
          </w:tcPr>
          <w:p w:rsidR="00E33DD0" w:rsidRPr="00CE6FE3" w:rsidRDefault="00F5501E" w:rsidP="00F5501E">
            <w:pPr>
              <w:tabs>
                <w:tab w:val="left" w:pos="892"/>
              </w:tabs>
              <w:jc w:val="both"/>
              <w:rPr>
                <w:sz w:val="24"/>
              </w:rPr>
            </w:pPr>
            <w:r>
              <w:rPr>
                <w:sz w:val="24"/>
              </w:rPr>
              <w:tab/>
              <w:t>Tailleurs 28 000</w:t>
            </w:r>
          </w:p>
        </w:tc>
      </w:tr>
      <w:tr w:rsidR="005E3182" w:rsidRPr="00CE6FE3" w:rsidTr="0021366D">
        <w:tc>
          <w:tcPr>
            <w:tcW w:w="3018" w:type="dxa"/>
          </w:tcPr>
          <w:p w:rsidR="005E3182" w:rsidRDefault="00F5501E" w:rsidP="006A7600">
            <w:pPr>
              <w:jc w:val="both"/>
              <w:rPr>
                <w:sz w:val="24"/>
              </w:rPr>
            </w:pPr>
            <w:r>
              <w:rPr>
                <w:sz w:val="24"/>
              </w:rPr>
              <w:t>F2 Palavas 230 000</w:t>
            </w:r>
          </w:p>
        </w:tc>
        <w:tc>
          <w:tcPr>
            <w:tcW w:w="3030" w:type="dxa"/>
          </w:tcPr>
          <w:p w:rsidR="005E3182" w:rsidRDefault="005E3182" w:rsidP="006A7600">
            <w:pPr>
              <w:jc w:val="both"/>
              <w:rPr>
                <w:sz w:val="24"/>
              </w:rPr>
            </w:pPr>
            <w:r>
              <w:rPr>
                <w:sz w:val="24"/>
              </w:rPr>
              <w:t>Le bureau : 75 000</w:t>
            </w:r>
          </w:p>
        </w:tc>
        <w:tc>
          <w:tcPr>
            <w:tcW w:w="3014" w:type="dxa"/>
          </w:tcPr>
          <w:p w:rsidR="005E3182" w:rsidRPr="00CE6FE3" w:rsidRDefault="005E3182" w:rsidP="006A7600">
            <w:pPr>
              <w:jc w:val="both"/>
              <w:rPr>
                <w:sz w:val="24"/>
              </w:rPr>
            </w:pPr>
          </w:p>
        </w:tc>
      </w:tr>
      <w:tr w:rsidR="00E33DD0" w:rsidRPr="00CE6FE3" w:rsidTr="0021366D">
        <w:tc>
          <w:tcPr>
            <w:tcW w:w="3018" w:type="dxa"/>
          </w:tcPr>
          <w:p w:rsidR="00E33DD0" w:rsidRPr="00CE6FE3" w:rsidRDefault="00E33DD0" w:rsidP="006A7600">
            <w:pPr>
              <w:jc w:val="both"/>
              <w:rPr>
                <w:sz w:val="24"/>
              </w:rPr>
            </w:pPr>
          </w:p>
        </w:tc>
        <w:tc>
          <w:tcPr>
            <w:tcW w:w="3030" w:type="dxa"/>
          </w:tcPr>
          <w:p w:rsidR="00E33DD0" w:rsidRPr="0006080A" w:rsidRDefault="005E3182" w:rsidP="006A7600">
            <w:pPr>
              <w:jc w:val="both"/>
              <w:rPr>
                <w:bCs/>
                <w:sz w:val="24"/>
              </w:rPr>
            </w:pPr>
            <w:r>
              <w:rPr>
                <w:bCs/>
                <w:sz w:val="24"/>
              </w:rPr>
              <w:t>Les voitures :</w:t>
            </w:r>
            <w:r w:rsidR="00D63BD4">
              <w:rPr>
                <w:bCs/>
                <w:sz w:val="24"/>
              </w:rPr>
              <w:t xml:space="preserve"> </w:t>
            </w:r>
            <w:r>
              <w:rPr>
                <w:bCs/>
                <w:sz w:val="24"/>
              </w:rPr>
              <w:t> </w:t>
            </w:r>
            <w:r w:rsidR="00D63BD4">
              <w:rPr>
                <w:bCs/>
                <w:sz w:val="24"/>
              </w:rPr>
              <w:t>404</w:t>
            </w:r>
            <w:r>
              <w:rPr>
                <w:bCs/>
                <w:sz w:val="24"/>
              </w:rPr>
              <w:t xml:space="preserve"> 000</w:t>
            </w:r>
          </w:p>
        </w:tc>
        <w:tc>
          <w:tcPr>
            <w:tcW w:w="3014" w:type="dxa"/>
          </w:tcPr>
          <w:p w:rsidR="00E33DD0" w:rsidRPr="00CE6FE3" w:rsidRDefault="00E33DD0" w:rsidP="006A7600">
            <w:pPr>
              <w:jc w:val="both"/>
              <w:rPr>
                <w:sz w:val="24"/>
              </w:rPr>
            </w:pPr>
          </w:p>
        </w:tc>
      </w:tr>
      <w:tr w:rsidR="00E33DD0" w:rsidRPr="00CE6FE3" w:rsidTr="0021366D">
        <w:tc>
          <w:tcPr>
            <w:tcW w:w="3018" w:type="dxa"/>
          </w:tcPr>
          <w:p w:rsidR="00E33DD0" w:rsidRPr="00CE6FE3" w:rsidRDefault="00E33DD0" w:rsidP="006A7600">
            <w:pPr>
              <w:jc w:val="both"/>
              <w:rPr>
                <w:sz w:val="24"/>
              </w:rPr>
            </w:pPr>
          </w:p>
        </w:tc>
        <w:tc>
          <w:tcPr>
            <w:tcW w:w="3030" w:type="dxa"/>
          </w:tcPr>
          <w:p w:rsidR="00E33DD0" w:rsidRPr="00CE6FE3" w:rsidRDefault="005E3182" w:rsidP="006A7600">
            <w:pPr>
              <w:jc w:val="both"/>
              <w:rPr>
                <w:sz w:val="24"/>
              </w:rPr>
            </w:pPr>
            <w:r>
              <w:rPr>
                <w:sz w:val="24"/>
              </w:rPr>
              <w:t xml:space="preserve">Les meubles meublants : 15 000 </w:t>
            </w:r>
          </w:p>
        </w:tc>
        <w:tc>
          <w:tcPr>
            <w:tcW w:w="3014" w:type="dxa"/>
          </w:tcPr>
          <w:p w:rsidR="00E33DD0" w:rsidRPr="00CE6FE3" w:rsidRDefault="00E33DD0" w:rsidP="006A7600">
            <w:pPr>
              <w:jc w:val="both"/>
              <w:rPr>
                <w:sz w:val="24"/>
              </w:rPr>
            </w:pPr>
          </w:p>
        </w:tc>
      </w:tr>
      <w:tr w:rsidR="00E33DD0" w:rsidRPr="00CE6FE3" w:rsidTr="0021366D">
        <w:tc>
          <w:tcPr>
            <w:tcW w:w="3018" w:type="dxa"/>
          </w:tcPr>
          <w:p w:rsidR="00E33DD0" w:rsidRPr="00CE6FE3" w:rsidRDefault="00E33DD0" w:rsidP="006A7600">
            <w:pPr>
              <w:jc w:val="both"/>
              <w:rPr>
                <w:sz w:val="24"/>
              </w:rPr>
            </w:pPr>
          </w:p>
        </w:tc>
        <w:tc>
          <w:tcPr>
            <w:tcW w:w="3030" w:type="dxa"/>
          </w:tcPr>
          <w:p w:rsidR="00E33DD0" w:rsidRPr="00CE6FE3" w:rsidRDefault="005E3182" w:rsidP="006A7600">
            <w:pPr>
              <w:jc w:val="both"/>
              <w:rPr>
                <w:sz w:val="24"/>
              </w:rPr>
            </w:pPr>
            <w:r>
              <w:rPr>
                <w:sz w:val="24"/>
              </w:rPr>
              <w:t>Les comptes : 8 354</w:t>
            </w:r>
          </w:p>
        </w:tc>
        <w:tc>
          <w:tcPr>
            <w:tcW w:w="3014" w:type="dxa"/>
          </w:tcPr>
          <w:p w:rsidR="00E33DD0" w:rsidRPr="00CE6FE3" w:rsidRDefault="00E33DD0" w:rsidP="006A7600">
            <w:pPr>
              <w:jc w:val="both"/>
              <w:rPr>
                <w:sz w:val="24"/>
              </w:rPr>
            </w:pPr>
          </w:p>
        </w:tc>
      </w:tr>
      <w:tr w:rsidR="00E33DD0" w:rsidRPr="00CE6FE3" w:rsidTr="0021366D">
        <w:tc>
          <w:tcPr>
            <w:tcW w:w="3018" w:type="dxa"/>
          </w:tcPr>
          <w:p w:rsidR="00E33DD0" w:rsidRPr="00CE6FE3" w:rsidRDefault="00E33DD0" w:rsidP="006A7600">
            <w:pPr>
              <w:jc w:val="both"/>
              <w:rPr>
                <w:sz w:val="24"/>
              </w:rPr>
            </w:pPr>
          </w:p>
        </w:tc>
        <w:tc>
          <w:tcPr>
            <w:tcW w:w="3030" w:type="dxa"/>
          </w:tcPr>
          <w:p w:rsidR="00E33DD0" w:rsidRPr="00CE6FE3" w:rsidRDefault="00D63BD4" w:rsidP="006A7600">
            <w:pPr>
              <w:jc w:val="both"/>
              <w:rPr>
                <w:sz w:val="24"/>
              </w:rPr>
            </w:pPr>
            <w:r>
              <w:rPr>
                <w:sz w:val="24"/>
              </w:rPr>
              <w:t xml:space="preserve">Le crédit : </w:t>
            </w:r>
            <w:r w:rsidR="006A7600">
              <w:rPr>
                <w:sz w:val="24"/>
              </w:rPr>
              <w:t xml:space="preserve">- </w:t>
            </w:r>
            <w:r>
              <w:rPr>
                <w:sz w:val="24"/>
              </w:rPr>
              <w:t>200 000</w:t>
            </w:r>
          </w:p>
        </w:tc>
        <w:tc>
          <w:tcPr>
            <w:tcW w:w="3014" w:type="dxa"/>
          </w:tcPr>
          <w:p w:rsidR="00E33DD0" w:rsidRPr="00CE6FE3" w:rsidRDefault="00E33DD0" w:rsidP="006A7600">
            <w:pPr>
              <w:jc w:val="both"/>
              <w:rPr>
                <w:sz w:val="24"/>
              </w:rPr>
            </w:pPr>
          </w:p>
        </w:tc>
      </w:tr>
      <w:tr w:rsidR="00E33DD0" w:rsidRPr="00CE6FE3" w:rsidTr="0021366D">
        <w:tc>
          <w:tcPr>
            <w:tcW w:w="3018" w:type="dxa"/>
          </w:tcPr>
          <w:p w:rsidR="00E33DD0" w:rsidRPr="00CE6FE3" w:rsidRDefault="00E33DD0" w:rsidP="006A7600">
            <w:pPr>
              <w:jc w:val="both"/>
              <w:rPr>
                <w:sz w:val="24"/>
              </w:rPr>
            </w:pPr>
          </w:p>
        </w:tc>
        <w:tc>
          <w:tcPr>
            <w:tcW w:w="3030" w:type="dxa"/>
          </w:tcPr>
          <w:p w:rsidR="00E33DD0" w:rsidRPr="00CE6FE3" w:rsidRDefault="00E33DD0" w:rsidP="006A7600">
            <w:pPr>
              <w:jc w:val="both"/>
              <w:rPr>
                <w:sz w:val="24"/>
              </w:rPr>
            </w:pPr>
          </w:p>
        </w:tc>
        <w:tc>
          <w:tcPr>
            <w:tcW w:w="3014" w:type="dxa"/>
          </w:tcPr>
          <w:p w:rsidR="00E33DD0" w:rsidRPr="00CE6FE3" w:rsidRDefault="00E33DD0" w:rsidP="006A7600">
            <w:pPr>
              <w:jc w:val="both"/>
              <w:rPr>
                <w:sz w:val="24"/>
              </w:rPr>
            </w:pPr>
          </w:p>
        </w:tc>
      </w:tr>
      <w:tr w:rsidR="00E33DD0" w:rsidRPr="00CE6FE3" w:rsidTr="0021366D">
        <w:tc>
          <w:tcPr>
            <w:tcW w:w="3018" w:type="dxa"/>
          </w:tcPr>
          <w:p w:rsidR="00E33DD0" w:rsidRPr="00CE6FE3" w:rsidRDefault="00D63BD4" w:rsidP="006A7600">
            <w:pPr>
              <w:jc w:val="both"/>
              <w:rPr>
                <w:sz w:val="24"/>
              </w:rPr>
            </w:pPr>
            <w:r>
              <w:rPr>
                <w:sz w:val="24"/>
              </w:rPr>
              <w:t xml:space="preserve"> Total : </w:t>
            </w:r>
            <w:r w:rsidR="00F5501E">
              <w:rPr>
                <w:sz w:val="24"/>
              </w:rPr>
              <w:t>1020 000</w:t>
            </w:r>
          </w:p>
        </w:tc>
        <w:tc>
          <w:tcPr>
            <w:tcW w:w="3030" w:type="dxa"/>
          </w:tcPr>
          <w:p w:rsidR="00E33DD0" w:rsidRPr="00CE6FE3" w:rsidRDefault="00D63BD4" w:rsidP="006A7600">
            <w:pPr>
              <w:jc w:val="both"/>
              <w:rPr>
                <w:sz w:val="24"/>
              </w:rPr>
            </w:pPr>
            <w:r>
              <w:rPr>
                <w:sz w:val="24"/>
              </w:rPr>
              <w:t xml:space="preserve">Total : </w:t>
            </w:r>
            <w:r w:rsidR="006A7600">
              <w:rPr>
                <w:sz w:val="24"/>
              </w:rPr>
              <w:t>1 912 354</w:t>
            </w:r>
          </w:p>
        </w:tc>
        <w:tc>
          <w:tcPr>
            <w:tcW w:w="3014" w:type="dxa"/>
          </w:tcPr>
          <w:p w:rsidR="00E33DD0" w:rsidRPr="00CE6FE3" w:rsidRDefault="006A7600" w:rsidP="006A7600">
            <w:pPr>
              <w:jc w:val="both"/>
              <w:rPr>
                <w:sz w:val="24"/>
              </w:rPr>
            </w:pPr>
            <w:r>
              <w:rPr>
                <w:sz w:val="24"/>
              </w:rPr>
              <w:t xml:space="preserve">Total : </w:t>
            </w:r>
            <w:r w:rsidR="00F5501E">
              <w:rPr>
                <w:sz w:val="24"/>
              </w:rPr>
              <w:t>38</w:t>
            </w:r>
            <w:r>
              <w:rPr>
                <w:sz w:val="24"/>
              </w:rPr>
              <w:t xml:space="preserve"> 000</w:t>
            </w:r>
          </w:p>
        </w:tc>
      </w:tr>
    </w:tbl>
    <w:p w:rsidR="00E33DD0" w:rsidRPr="00F5501E" w:rsidRDefault="00E33DD0" w:rsidP="00F5501E">
      <w:pPr>
        <w:jc w:val="both"/>
        <w:rPr>
          <w:sz w:val="24"/>
        </w:rPr>
      </w:pPr>
      <w:r w:rsidRPr="00F5501E">
        <w:rPr>
          <w:sz w:val="24"/>
        </w:rPr>
        <w:tab/>
      </w:r>
      <w:r w:rsidRPr="00F5501E">
        <w:rPr>
          <w:sz w:val="24"/>
        </w:rPr>
        <w:tab/>
      </w:r>
      <w:r w:rsidRPr="00F5501E">
        <w:rPr>
          <w:sz w:val="24"/>
        </w:rPr>
        <w:tab/>
      </w:r>
      <w:r w:rsidRPr="00F5501E">
        <w:rPr>
          <w:sz w:val="24"/>
        </w:rPr>
        <w:tab/>
      </w:r>
    </w:p>
    <w:p w:rsidR="00E33DD0" w:rsidRPr="00CE6FE3" w:rsidRDefault="00E33DD0" w:rsidP="00E33DD0">
      <w:pPr>
        <w:jc w:val="both"/>
        <w:rPr>
          <w:sz w:val="24"/>
        </w:rPr>
      </w:pPr>
    </w:p>
    <w:p w:rsidR="00E33DD0" w:rsidRPr="0021366D" w:rsidRDefault="0021366D" w:rsidP="00E33DD0">
      <w:pPr>
        <w:jc w:val="both"/>
        <w:rPr>
          <w:b/>
          <w:sz w:val="24"/>
          <w:u w:val="single"/>
        </w:rPr>
      </w:pPr>
      <w:r w:rsidRPr="0021366D">
        <w:rPr>
          <w:sz w:val="24"/>
        </w:rPr>
        <w:tab/>
      </w:r>
      <w:r>
        <w:rPr>
          <w:b/>
          <w:sz w:val="24"/>
          <w:u w:val="single"/>
        </w:rPr>
        <w:t>E</w:t>
      </w:r>
      <w:r w:rsidR="00E33DD0" w:rsidRPr="0021366D">
        <w:rPr>
          <w:b/>
          <w:sz w:val="24"/>
          <w:u w:val="single"/>
        </w:rPr>
        <w:t>) Le partage</w:t>
      </w:r>
    </w:p>
    <w:p w:rsidR="00E33DD0" w:rsidRPr="00CE6FE3" w:rsidRDefault="00E33DD0" w:rsidP="00E33DD0">
      <w:pPr>
        <w:jc w:val="both"/>
        <w:rPr>
          <w:sz w:val="24"/>
        </w:rPr>
      </w:pPr>
    </w:p>
    <w:p w:rsidR="00E33DD0" w:rsidRPr="00CE6FE3" w:rsidRDefault="00E33DD0" w:rsidP="00E33DD0">
      <w:pPr>
        <w:jc w:val="both"/>
        <w:rPr>
          <w:sz w:val="24"/>
        </w:rPr>
      </w:pPr>
      <w:r>
        <w:rPr>
          <w:sz w:val="24"/>
        </w:rPr>
        <w:t xml:space="preserve">Masse à partager : </w:t>
      </w:r>
      <w:r w:rsidR="006A7600">
        <w:rPr>
          <w:sz w:val="24"/>
        </w:rPr>
        <w:t>1 912 354 + 135 909 + 557 667 = 2 605 930</w:t>
      </w:r>
    </w:p>
    <w:p w:rsidR="00E33DD0" w:rsidRPr="00CE6FE3" w:rsidRDefault="00E33DD0" w:rsidP="00E33DD0">
      <w:pPr>
        <w:jc w:val="both"/>
        <w:rPr>
          <w:sz w:val="24"/>
        </w:rPr>
      </w:pPr>
    </w:p>
    <w:p w:rsidR="00E33DD0" w:rsidRPr="00CE6FE3" w:rsidRDefault="00E33DD0" w:rsidP="00E33DD0">
      <w:pPr>
        <w:jc w:val="both"/>
        <w:rPr>
          <w:sz w:val="24"/>
        </w:rPr>
      </w:pPr>
      <w:r w:rsidRPr="00CE6FE3">
        <w:rPr>
          <w:sz w:val="24"/>
        </w:rPr>
        <w:t>Part th</w:t>
      </w:r>
      <w:r>
        <w:rPr>
          <w:sz w:val="24"/>
        </w:rPr>
        <w:t>éorique :</w:t>
      </w:r>
      <w:r w:rsidR="006A7600" w:rsidRPr="006A7600">
        <w:rPr>
          <w:sz w:val="24"/>
        </w:rPr>
        <w:t xml:space="preserve"> </w:t>
      </w:r>
      <w:r w:rsidR="006A7600">
        <w:rPr>
          <w:sz w:val="24"/>
        </w:rPr>
        <w:t>2 605 930</w:t>
      </w:r>
      <w:r>
        <w:rPr>
          <w:sz w:val="24"/>
        </w:rPr>
        <w:t xml:space="preserve"> </w:t>
      </w:r>
      <w:r w:rsidR="006A7600">
        <w:rPr>
          <w:sz w:val="24"/>
        </w:rPr>
        <w:t>/ 2 = 1 303 965</w:t>
      </w:r>
    </w:p>
    <w:p w:rsidR="00E33DD0" w:rsidRPr="00CE6FE3" w:rsidRDefault="00E33DD0" w:rsidP="00E33DD0">
      <w:pPr>
        <w:jc w:val="both"/>
        <w:rPr>
          <w:sz w:val="24"/>
        </w:rPr>
      </w:pPr>
    </w:p>
    <w:p w:rsidR="00E33DD0" w:rsidRPr="00CE6FE3" w:rsidRDefault="00E33DD0" w:rsidP="00E33DD0">
      <w:pPr>
        <w:jc w:val="both"/>
        <w:rPr>
          <w:sz w:val="24"/>
        </w:rPr>
      </w:pPr>
      <w:r w:rsidRPr="00CE6FE3">
        <w:rPr>
          <w:sz w:val="24"/>
        </w:rPr>
        <w:t>Part m</w:t>
      </w:r>
      <w:r>
        <w:rPr>
          <w:sz w:val="24"/>
        </w:rPr>
        <w:t>onsieur :</w:t>
      </w:r>
      <w:r w:rsidR="006A7600" w:rsidRPr="006A7600">
        <w:rPr>
          <w:sz w:val="24"/>
        </w:rPr>
        <w:t xml:space="preserve"> </w:t>
      </w:r>
      <w:r w:rsidR="006A7600">
        <w:rPr>
          <w:sz w:val="24"/>
        </w:rPr>
        <w:t xml:space="preserve">1 303 965 </w:t>
      </w:r>
      <w:r>
        <w:rPr>
          <w:sz w:val="24"/>
        </w:rPr>
        <w:t>–</w:t>
      </w:r>
      <w:r w:rsidR="006A7600">
        <w:rPr>
          <w:sz w:val="24"/>
        </w:rPr>
        <w:t xml:space="preserve"> 135 909= 1 167 056</w:t>
      </w:r>
    </w:p>
    <w:p w:rsidR="00E33DD0" w:rsidRPr="00CE6FE3" w:rsidRDefault="00E33DD0" w:rsidP="00E33DD0">
      <w:pPr>
        <w:jc w:val="both"/>
        <w:rPr>
          <w:sz w:val="24"/>
        </w:rPr>
      </w:pPr>
    </w:p>
    <w:p w:rsidR="00E33DD0" w:rsidRDefault="00E33DD0" w:rsidP="00E33DD0">
      <w:pPr>
        <w:jc w:val="both"/>
        <w:rPr>
          <w:sz w:val="24"/>
        </w:rPr>
      </w:pPr>
      <w:r w:rsidRPr="00CE6FE3">
        <w:rPr>
          <w:sz w:val="24"/>
        </w:rPr>
        <w:t>Part</w:t>
      </w:r>
      <w:r>
        <w:rPr>
          <w:sz w:val="24"/>
        </w:rPr>
        <w:t xml:space="preserve"> madame : </w:t>
      </w:r>
      <w:r w:rsidR="006A7600">
        <w:rPr>
          <w:sz w:val="24"/>
        </w:rPr>
        <w:t>1 303 965 - 557 667 = 746 298</w:t>
      </w:r>
    </w:p>
    <w:p w:rsidR="00E33DD0" w:rsidRDefault="00E33DD0" w:rsidP="00E33DD0">
      <w:pPr>
        <w:spacing w:after="160" w:line="259" w:lineRule="auto"/>
        <w:jc w:val="both"/>
        <w:rPr>
          <w:sz w:val="24"/>
        </w:rPr>
      </w:pPr>
    </w:p>
    <w:p w:rsidR="00E33DD0" w:rsidRPr="00CC24F1" w:rsidRDefault="00E33DD0" w:rsidP="00E33DD0">
      <w:pPr>
        <w:spacing w:after="160" w:line="259" w:lineRule="auto"/>
        <w:jc w:val="center"/>
        <w:rPr>
          <w:rFonts w:ascii="Showcard Gothic" w:hAnsi="Showcard Gothic"/>
          <w:sz w:val="24"/>
        </w:rPr>
      </w:pPr>
      <w:r w:rsidRPr="00CC24F1">
        <w:rPr>
          <w:rFonts w:ascii="Showcard Gothic" w:hAnsi="Showcard Gothic"/>
          <w:sz w:val="24"/>
        </w:rPr>
        <w:t xml:space="preserve">Coup de cœur </w:t>
      </w:r>
    </w:p>
    <w:p w:rsidR="00E33DD0" w:rsidRDefault="00E33DD0" w:rsidP="00E33DD0">
      <w:pPr>
        <w:spacing w:after="160" w:line="259" w:lineRule="auto"/>
        <w:jc w:val="both"/>
        <w:rPr>
          <w:sz w:val="24"/>
        </w:rPr>
      </w:pPr>
    </w:p>
    <w:p w:rsidR="00E33DD0" w:rsidRDefault="00E33DD0" w:rsidP="00E33DD0">
      <w:pPr>
        <w:spacing w:after="160" w:line="259" w:lineRule="auto"/>
        <w:jc w:val="both"/>
        <w:rPr>
          <w:sz w:val="24"/>
        </w:rPr>
      </w:pPr>
      <w:r>
        <w:rPr>
          <w:sz w:val="24"/>
        </w:rPr>
        <w:tab/>
        <w:t>Chers Etudiants,</w:t>
      </w:r>
    </w:p>
    <w:p w:rsidR="00E33DD0" w:rsidRDefault="00E33DD0" w:rsidP="00E33DD0">
      <w:pPr>
        <w:jc w:val="both"/>
        <w:rPr>
          <w:sz w:val="24"/>
          <w:szCs w:val="24"/>
        </w:rPr>
      </w:pPr>
    </w:p>
    <w:p w:rsidR="00B702B1" w:rsidRDefault="00B702B1" w:rsidP="00B702B1">
      <w:pPr>
        <w:jc w:val="both"/>
        <w:rPr>
          <w:sz w:val="24"/>
          <w:szCs w:val="24"/>
        </w:rPr>
      </w:pPr>
      <w:r>
        <w:rPr>
          <w:sz w:val="24"/>
          <w:szCs w:val="24"/>
        </w:rPr>
        <w:tab/>
        <w:t xml:space="preserve">Maintenant que vous maîtrisez avec aisance les qualifications dans le régime de communauté, je vous invite à découvrir des pistes de mise en œuvre de ces règles de qualification à l’égard des actifs numériques. C’est un travail passionnant en raison de la relative nouveauté de ces biens qui oblige le juriste à raisonner sans pouvoir se reposer sur de nombreux précédents jurisprudentiels. Vous trouverez des pistes en ce sens de la synthèse établie par V. Avena-Robardet, </w:t>
      </w:r>
      <w:r w:rsidRPr="00B702B1">
        <w:rPr>
          <w:sz w:val="24"/>
          <w:szCs w:val="24"/>
        </w:rPr>
        <w:t>AJ Famille 2023 p.488</w:t>
      </w:r>
      <w:r>
        <w:rPr>
          <w:sz w:val="24"/>
          <w:szCs w:val="24"/>
        </w:rPr>
        <w:t>,</w:t>
      </w:r>
      <w:r w:rsidRPr="00B702B1">
        <w:rPr>
          <w:b/>
          <w:bCs/>
          <w:i/>
          <w:iCs/>
          <w:sz w:val="24"/>
          <w:szCs w:val="24"/>
        </w:rPr>
        <w:t xml:space="preserve"> de l'article de Gulsen Yildirim, à paraître</w:t>
      </w:r>
      <w:r w:rsidRPr="00B702B1">
        <w:rPr>
          <w:b/>
          <w:bCs/>
          <w:sz w:val="24"/>
          <w:szCs w:val="24"/>
        </w:rPr>
        <w:t xml:space="preserve"> in </w:t>
      </w:r>
      <w:r w:rsidRPr="00B702B1">
        <w:rPr>
          <w:b/>
          <w:bCs/>
          <w:i/>
          <w:iCs/>
          <w:sz w:val="24"/>
          <w:szCs w:val="24"/>
        </w:rPr>
        <w:t>revue SNH</w:t>
      </w:r>
      <w:r>
        <w:rPr>
          <w:b/>
          <w:bCs/>
          <w:i/>
          <w:iCs/>
          <w:sz w:val="24"/>
          <w:szCs w:val="24"/>
        </w:rPr>
        <w:t xml:space="preserve"> : </w:t>
      </w:r>
      <w:r w:rsidRPr="00B702B1">
        <w:rPr>
          <w:sz w:val="24"/>
          <w:szCs w:val="24"/>
        </w:rPr>
        <w:t>La qualification des actifs numériques dans le régime de la communauté légale</w:t>
      </w:r>
      <w:r>
        <w:rPr>
          <w:sz w:val="24"/>
          <w:szCs w:val="24"/>
        </w:rPr>
        <w:t>. Si aucun extrait n’est fourni</w:t>
      </w:r>
      <w:r w:rsidR="00344CC2">
        <w:rPr>
          <w:sz w:val="24"/>
          <w:szCs w:val="24"/>
        </w:rPr>
        <w:t xml:space="preserve"> dans cette correction</w:t>
      </w:r>
      <w:r>
        <w:rPr>
          <w:sz w:val="24"/>
          <w:szCs w:val="24"/>
        </w:rPr>
        <w:t>, c’est qu’il s’agit également d’une invitation à découvrir ces deux belles et utiles revues.</w:t>
      </w:r>
    </w:p>
    <w:p w:rsidR="00B702B1" w:rsidRDefault="00B702B1" w:rsidP="00B702B1">
      <w:pPr>
        <w:jc w:val="both"/>
        <w:rPr>
          <w:sz w:val="24"/>
          <w:szCs w:val="24"/>
        </w:rPr>
      </w:pPr>
    </w:p>
    <w:p w:rsidR="00B702B1" w:rsidRPr="00B702B1" w:rsidRDefault="00B702B1" w:rsidP="00B702B1">
      <w:pPr>
        <w:jc w:val="both"/>
        <w:rPr>
          <w:sz w:val="24"/>
          <w:szCs w:val="24"/>
        </w:rPr>
      </w:pPr>
      <w:r>
        <w:rPr>
          <w:sz w:val="24"/>
          <w:szCs w:val="24"/>
        </w:rPr>
        <w:t>Bonne lecture et bonne découverte !</w:t>
      </w:r>
    </w:p>
    <w:p w:rsidR="00F807AC" w:rsidRPr="000275D1" w:rsidRDefault="00B702B1" w:rsidP="00E33DD0">
      <w:pPr>
        <w:jc w:val="both"/>
        <w:rPr>
          <w:sz w:val="24"/>
          <w:szCs w:val="24"/>
        </w:rPr>
      </w:pPr>
      <w:r>
        <w:rPr>
          <w:sz w:val="24"/>
          <w:szCs w:val="24"/>
        </w:rPr>
        <w:t xml:space="preserve"> </w:t>
      </w:r>
    </w:p>
    <w:sectPr w:rsidR="00F807AC" w:rsidRPr="000275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017" w:rsidRDefault="007D0017" w:rsidP="00746EBC">
      <w:r>
        <w:separator/>
      </w:r>
    </w:p>
  </w:endnote>
  <w:endnote w:type="continuationSeparator" w:id="0">
    <w:p w:rsidR="007D0017" w:rsidRDefault="007D0017" w:rsidP="0074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017" w:rsidRDefault="007D0017" w:rsidP="00746EBC">
      <w:r>
        <w:separator/>
      </w:r>
    </w:p>
  </w:footnote>
  <w:footnote w:type="continuationSeparator" w:id="0">
    <w:p w:rsidR="007D0017" w:rsidRDefault="007D0017" w:rsidP="00746EBC">
      <w:r>
        <w:continuationSeparator/>
      </w:r>
    </w:p>
  </w:footnote>
  <w:footnote w:id="1">
    <w:p w:rsidR="006A7600" w:rsidRDefault="006A7600" w:rsidP="00746EBC">
      <w:pPr>
        <w:pStyle w:val="Notedebasdepage"/>
        <w:jc w:val="both"/>
      </w:pPr>
      <w:r>
        <w:rPr>
          <w:rStyle w:val="Appelnotedebasdep"/>
        </w:rPr>
        <w:footnoteRef/>
      </w:r>
      <w:r>
        <w:t xml:space="preserve"> Les stock-options ayant été vendus, il y a lieu de raisonner sur le régime applicable aux biens communs en général, sans interférence des règles spécifiques instaurées par le régime primaire en matière de gains et salaires. Par conséquent, les réflexions sur le seuil d’économie des gains et salaires leur retirant cette qualification étaient hors sujet.</w:t>
      </w:r>
    </w:p>
  </w:footnote>
  <w:footnote w:id="2">
    <w:p w:rsidR="006C406F" w:rsidRDefault="006C406F">
      <w:pPr>
        <w:pStyle w:val="Notedebasdepage"/>
      </w:pPr>
      <w:r>
        <w:rPr>
          <w:rStyle w:val="Appelnotedebasdep"/>
        </w:rPr>
        <w:footnoteRef/>
      </w:r>
      <w:r>
        <w:t xml:space="preserve"> NB  connaissance : même dans l’hypothèse d’un travail réalisé par un époux sur un bien propre de l’autre, la jurisprudence refuse toute récompense, faute d’appauvrissement du patrimoine propre : Cass. 1</w:t>
      </w:r>
      <w:r w:rsidRPr="006C406F">
        <w:rPr>
          <w:vertAlign w:val="superscript"/>
        </w:rPr>
        <w:t>ère</w:t>
      </w:r>
      <w:r>
        <w:t xml:space="preserve"> civ, 30 juin 1992.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438618"/>
      <w:docPartObj>
        <w:docPartGallery w:val="Page Numbers (Top of Page)"/>
        <w:docPartUnique/>
      </w:docPartObj>
    </w:sdtPr>
    <w:sdtEndPr/>
    <w:sdtContent>
      <w:p w:rsidR="006A7600" w:rsidRDefault="006A7600">
        <w:pPr>
          <w:pStyle w:val="En-tte"/>
          <w:jc w:val="right"/>
        </w:pPr>
        <w:r>
          <w:fldChar w:fldCharType="begin"/>
        </w:r>
        <w:r>
          <w:instrText>PAGE   \* MERGEFORMAT</w:instrText>
        </w:r>
        <w:r>
          <w:fldChar w:fldCharType="separate"/>
        </w:r>
        <w:r w:rsidR="007D0017">
          <w:rPr>
            <w:noProof/>
          </w:rPr>
          <w:t>1</w:t>
        </w:r>
        <w:r>
          <w:fldChar w:fldCharType="end"/>
        </w:r>
      </w:p>
    </w:sdtContent>
  </w:sdt>
  <w:p w:rsidR="006A7600" w:rsidRDefault="006A760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C01AE"/>
    <w:multiLevelType w:val="hybridMultilevel"/>
    <w:tmpl w:val="F77E3C1E"/>
    <w:lvl w:ilvl="0" w:tplc="D8E0A8B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9105CA"/>
    <w:multiLevelType w:val="singleLevel"/>
    <w:tmpl w:val="8DB49B14"/>
    <w:lvl w:ilvl="0">
      <w:start w:val="1"/>
      <w:numFmt w:val="upperRoman"/>
      <w:lvlText w:val="%1)"/>
      <w:lvlJc w:val="left"/>
      <w:pPr>
        <w:tabs>
          <w:tab w:val="num" w:pos="720"/>
        </w:tabs>
        <w:ind w:left="720" w:hanging="720"/>
      </w:pPr>
      <w:rPr>
        <w:rFonts w:hint="default"/>
      </w:rPr>
    </w:lvl>
  </w:abstractNum>
  <w:abstractNum w:abstractNumId="2" w15:restartNumberingAfterBreak="0">
    <w:nsid w:val="48AC2E88"/>
    <w:multiLevelType w:val="hybridMultilevel"/>
    <w:tmpl w:val="83421FCA"/>
    <w:lvl w:ilvl="0" w:tplc="D564E75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5D1"/>
    <w:rsid w:val="000275D1"/>
    <w:rsid w:val="000A4C60"/>
    <w:rsid w:val="001D11CC"/>
    <w:rsid w:val="0021366D"/>
    <w:rsid w:val="00344CC2"/>
    <w:rsid w:val="003D2F77"/>
    <w:rsid w:val="005A44FF"/>
    <w:rsid w:val="005E3182"/>
    <w:rsid w:val="00634891"/>
    <w:rsid w:val="006A7600"/>
    <w:rsid w:val="006C406F"/>
    <w:rsid w:val="00746EBC"/>
    <w:rsid w:val="007A0CA7"/>
    <w:rsid w:val="007D0017"/>
    <w:rsid w:val="007D0D00"/>
    <w:rsid w:val="00843040"/>
    <w:rsid w:val="00847E75"/>
    <w:rsid w:val="00874AE7"/>
    <w:rsid w:val="009F5319"/>
    <w:rsid w:val="00A36031"/>
    <w:rsid w:val="00A53BFF"/>
    <w:rsid w:val="00B15867"/>
    <w:rsid w:val="00B702B1"/>
    <w:rsid w:val="00C63427"/>
    <w:rsid w:val="00CA7D83"/>
    <w:rsid w:val="00D12C28"/>
    <w:rsid w:val="00D63BD4"/>
    <w:rsid w:val="00D723B1"/>
    <w:rsid w:val="00DD15BF"/>
    <w:rsid w:val="00E33DD0"/>
    <w:rsid w:val="00E418C1"/>
    <w:rsid w:val="00E568DE"/>
    <w:rsid w:val="00E77164"/>
    <w:rsid w:val="00EB2357"/>
    <w:rsid w:val="00F278FF"/>
    <w:rsid w:val="00F5501E"/>
    <w:rsid w:val="00F807AC"/>
    <w:rsid w:val="00F90A2E"/>
    <w:rsid w:val="00FC7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CEFC8-8D28-47A3-B28E-9F9F8F08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5D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275D1"/>
    <w:pPr>
      <w:spacing w:after="0" w:line="240" w:lineRule="auto"/>
    </w:pPr>
  </w:style>
  <w:style w:type="paragraph" w:styleId="Paragraphedeliste">
    <w:name w:val="List Paragraph"/>
    <w:basedOn w:val="Normal"/>
    <w:uiPriority w:val="34"/>
    <w:qFormat/>
    <w:rsid w:val="000275D1"/>
    <w:pPr>
      <w:ind w:left="720"/>
      <w:contextualSpacing/>
    </w:pPr>
  </w:style>
  <w:style w:type="paragraph" w:styleId="Notedebasdepage">
    <w:name w:val="footnote text"/>
    <w:basedOn w:val="Normal"/>
    <w:link w:val="NotedebasdepageCar"/>
    <w:uiPriority w:val="99"/>
    <w:semiHidden/>
    <w:unhideWhenUsed/>
    <w:rsid w:val="00746EBC"/>
  </w:style>
  <w:style w:type="character" w:customStyle="1" w:styleId="NotedebasdepageCar">
    <w:name w:val="Note de bas de page Car"/>
    <w:basedOn w:val="Policepardfaut"/>
    <w:link w:val="Notedebasdepage"/>
    <w:uiPriority w:val="99"/>
    <w:semiHidden/>
    <w:rsid w:val="00746EB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746EBC"/>
    <w:rPr>
      <w:vertAlign w:val="superscript"/>
    </w:rPr>
  </w:style>
  <w:style w:type="paragraph" w:styleId="En-tte">
    <w:name w:val="header"/>
    <w:basedOn w:val="Normal"/>
    <w:link w:val="En-tteCar"/>
    <w:uiPriority w:val="99"/>
    <w:unhideWhenUsed/>
    <w:rsid w:val="00A36031"/>
    <w:pPr>
      <w:tabs>
        <w:tab w:val="center" w:pos="4536"/>
        <w:tab w:val="right" w:pos="9072"/>
      </w:tabs>
    </w:pPr>
  </w:style>
  <w:style w:type="character" w:customStyle="1" w:styleId="En-tteCar">
    <w:name w:val="En-tête Car"/>
    <w:basedOn w:val="Policepardfaut"/>
    <w:link w:val="En-tte"/>
    <w:uiPriority w:val="99"/>
    <w:rsid w:val="00A3603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36031"/>
    <w:pPr>
      <w:tabs>
        <w:tab w:val="center" w:pos="4536"/>
        <w:tab w:val="right" w:pos="9072"/>
      </w:tabs>
    </w:pPr>
  </w:style>
  <w:style w:type="character" w:customStyle="1" w:styleId="PieddepageCar">
    <w:name w:val="Pied de page Car"/>
    <w:basedOn w:val="Policepardfaut"/>
    <w:link w:val="Pieddepage"/>
    <w:uiPriority w:val="99"/>
    <w:rsid w:val="00A36031"/>
    <w:rPr>
      <w:rFonts w:ascii="Times New Roman" w:eastAsia="Times New Roman" w:hAnsi="Times New Roman" w:cs="Times New Roman"/>
      <w:sz w:val="20"/>
      <w:szCs w:val="20"/>
      <w:lang w:eastAsia="fr-FR"/>
    </w:rPr>
  </w:style>
  <w:style w:type="table" w:styleId="Grilledutableau">
    <w:name w:val="Table Grid"/>
    <w:basedOn w:val="TableauNormal"/>
    <w:rsid w:val="00E33DD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35832">
      <w:bodyDiv w:val="1"/>
      <w:marLeft w:val="0"/>
      <w:marRight w:val="0"/>
      <w:marTop w:val="0"/>
      <w:marBottom w:val="0"/>
      <w:divBdr>
        <w:top w:val="none" w:sz="0" w:space="0" w:color="auto"/>
        <w:left w:val="none" w:sz="0" w:space="0" w:color="auto"/>
        <w:bottom w:val="none" w:sz="0" w:space="0" w:color="auto"/>
        <w:right w:val="none" w:sz="0" w:space="0" w:color="auto"/>
      </w:divBdr>
      <w:divsChild>
        <w:div w:id="1159154118">
          <w:marLeft w:val="0"/>
          <w:marRight w:val="0"/>
          <w:marTop w:val="0"/>
          <w:marBottom w:val="0"/>
          <w:divBdr>
            <w:top w:val="none" w:sz="0" w:space="0" w:color="auto"/>
            <w:left w:val="none" w:sz="0" w:space="0" w:color="auto"/>
            <w:bottom w:val="none" w:sz="0" w:space="0" w:color="auto"/>
            <w:right w:val="none" w:sz="0" w:space="0" w:color="auto"/>
          </w:divBdr>
        </w:div>
        <w:div w:id="1181164338">
          <w:marLeft w:val="0"/>
          <w:marRight w:val="0"/>
          <w:marTop w:val="0"/>
          <w:marBottom w:val="0"/>
          <w:divBdr>
            <w:top w:val="none" w:sz="0" w:space="0" w:color="auto"/>
            <w:left w:val="none" w:sz="0" w:space="0" w:color="auto"/>
            <w:bottom w:val="none" w:sz="0" w:space="0" w:color="auto"/>
            <w:right w:val="none" w:sz="0" w:space="0" w:color="auto"/>
          </w:divBdr>
        </w:div>
        <w:div w:id="88683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4EB4-6FD9-4B9F-9211-27A88EC6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11781</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Cabrillac</cp:lastModifiedBy>
  <cp:revision>2</cp:revision>
  <cp:lastPrinted>2023-12-05T11:33:00Z</cp:lastPrinted>
  <dcterms:created xsi:type="dcterms:W3CDTF">2023-12-11T06:55:00Z</dcterms:created>
  <dcterms:modified xsi:type="dcterms:W3CDTF">2023-12-11T06:55:00Z</dcterms:modified>
</cp:coreProperties>
</file>