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9C65E" w14:textId="77777777" w:rsidR="00836E5B" w:rsidRPr="00836E5B" w:rsidRDefault="00836E5B" w:rsidP="00836E5B">
      <w:pPr>
        <w:spacing w:after="0" w:line="240" w:lineRule="auto"/>
        <w:jc w:val="both"/>
        <w:rPr>
          <w:rFonts w:ascii="Arial" w:eastAsia="Times New Roman" w:hAnsi="Arial" w:cs="Arial"/>
          <w:sz w:val="20"/>
          <w:lang w:eastAsia="fr-FR"/>
        </w:rPr>
      </w:pPr>
      <w:r>
        <w:rPr>
          <w:rFonts w:ascii="Arial" w:eastAsia="Times New Roman" w:hAnsi="Arial" w:cs="Arial"/>
          <w:b/>
          <w:sz w:val="20"/>
          <w:lang w:eastAsia="fr-FR"/>
        </w:rPr>
        <w:t xml:space="preserve">Madame </w:t>
      </w:r>
      <w:r w:rsidRPr="00836E5B">
        <w:rPr>
          <w:rFonts w:ascii="Arial" w:eastAsia="Times New Roman" w:hAnsi="Arial" w:cs="Arial"/>
          <w:sz w:val="20"/>
          <w:lang w:eastAsia="fr-FR"/>
        </w:rPr>
        <w:t>1953 a été hospitalisée dans l’Unité de Cour</w:t>
      </w:r>
      <w:r w:rsidR="00E04E71">
        <w:rPr>
          <w:rFonts w:ascii="Arial" w:eastAsia="Times New Roman" w:hAnsi="Arial" w:cs="Arial"/>
          <w:sz w:val="20"/>
          <w:lang w:eastAsia="fr-FR"/>
        </w:rPr>
        <w:t>t Séjour d’Urgence du 03/04 au 06/04</w:t>
      </w:r>
    </w:p>
    <w:p w14:paraId="5E8BE76D" w14:textId="77777777" w:rsidR="00836E5B" w:rsidRPr="00836E5B" w:rsidRDefault="00836E5B" w:rsidP="00836E5B">
      <w:pPr>
        <w:spacing w:after="0" w:line="240" w:lineRule="auto"/>
        <w:jc w:val="both"/>
        <w:rPr>
          <w:rFonts w:ascii="Arial" w:eastAsia="Times New Roman" w:hAnsi="Arial" w:cs="Arial"/>
          <w:sz w:val="20"/>
          <w:lang w:eastAsia="fr-FR"/>
        </w:rPr>
      </w:pPr>
    </w:p>
    <w:p w14:paraId="383A344A" w14:textId="77777777" w:rsidR="00836E5B" w:rsidRPr="00836E5B" w:rsidRDefault="00836E5B" w:rsidP="00836E5B">
      <w:pPr>
        <w:spacing w:after="0" w:line="240" w:lineRule="auto"/>
        <w:ind w:left="2268"/>
        <w:jc w:val="both"/>
        <w:rPr>
          <w:rFonts w:ascii="Arial" w:eastAsia="Times New Roman" w:hAnsi="Arial" w:cs="Arial"/>
          <w:sz w:val="20"/>
          <w:lang w:eastAsia="fr-FR"/>
        </w:rPr>
      </w:pPr>
    </w:p>
    <w:p w14:paraId="2BF4BFBE"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MOTIFS D’HOSPITALISATION</w:t>
      </w:r>
      <w:r w:rsidRPr="00836E5B">
        <w:rPr>
          <w:rFonts w:ascii="Arial" w:eastAsia="Times New Roman" w:hAnsi="Arial" w:cs="Arial"/>
          <w:b/>
          <w:sz w:val="20"/>
          <w:lang w:eastAsia="fr-FR"/>
        </w:rPr>
        <w:t> :</w:t>
      </w:r>
    </w:p>
    <w:p w14:paraId="676CB317"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Déficit neurologique d’apparition brutale persistant.</w:t>
      </w:r>
    </w:p>
    <w:p w14:paraId="501F55BE" w14:textId="77777777" w:rsidR="00836E5B" w:rsidRPr="00836E5B" w:rsidRDefault="00836E5B" w:rsidP="00836E5B">
      <w:pPr>
        <w:spacing w:after="0" w:line="240" w:lineRule="auto"/>
        <w:jc w:val="both"/>
        <w:rPr>
          <w:rFonts w:ascii="Arial" w:eastAsia="Times New Roman" w:hAnsi="Arial" w:cs="Arial"/>
          <w:sz w:val="20"/>
          <w:lang w:eastAsia="fr-FR"/>
        </w:rPr>
      </w:pPr>
    </w:p>
    <w:p w14:paraId="5D293270" w14:textId="77777777" w:rsidR="00836E5B" w:rsidRPr="00836E5B" w:rsidRDefault="00836E5B" w:rsidP="00836E5B">
      <w:pPr>
        <w:spacing w:after="0" w:line="240" w:lineRule="auto"/>
        <w:jc w:val="both"/>
        <w:rPr>
          <w:rFonts w:ascii="Arial" w:eastAsia="Times New Roman" w:hAnsi="Arial" w:cs="Arial"/>
          <w:sz w:val="20"/>
          <w:lang w:eastAsia="fr-FR"/>
        </w:rPr>
      </w:pPr>
    </w:p>
    <w:p w14:paraId="1080D96B"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ATCD</w:t>
      </w:r>
      <w:r w:rsidRPr="00836E5B">
        <w:rPr>
          <w:rFonts w:ascii="Arial" w:eastAsia="Times New Roman" w:hAnsi="Arial" w:cs="Arial"/>
          <w:b/>
          <w:sz w:val="20"/>
          <w:lang w:eastAsia="fr-FR"/>
        </w:rPr>
        <w:t> :</w:t>
      </w:r>
    </w:p>
    <w:p w14:paraId="3A219279"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Aucun.</w:t>
      </w:r>
    </w:p>
    <w:p w14:paraId="34FCF311"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Allergie non connue.</w:t>
      </w:r>
    </w:p>
    <w:p w14:paraId="6705951C" w14:textId="77777777" w:rsidR="00836E5B" w:rsidRPr="00836E5B" w:rsidRDefault="00836E5B" w:rsidP="00836E5B">
      <w:pPr>
        <w:spacing w:after="0" w:line="240" w:lineRule="auto"/>
        <w:jc w:val="both"/>
        <w:rPr>
          <w:rFonts w:ascii="Arial" w:eastAsia="Times New Roman" w:hAnsi="Arial" w:cs="Arial"/>
          <w:sz w:val="20"/>
          <w:lang w:eastAsia="fr-FR"/>
        </w:rPr>
      </w:pPr>
    </w:p>
    <w:p w14:paraId="5C364D61" w14:textId="77777777" w:rsidR="00836E5B" w:rsidRPr="00836E5B" w:rsidRDefault="00836E5B" w:rsidP="00836E5B">
      <w:pPr>
        <w:spacing w:after="0" w:line="240" w:lineRule="auto"/>
        <w:jc w:val="both"/>
        <w:rPr>
          <w:rFonts w:ascii="Arial" w:eastAsia="Times New Roman" w:hAnsi="Arial" w:cs="Arial"/>
          <w:sz w:val="20"/>
          <w:lang w:eastAsia="fr-FR"/>
        </w:rPr>
      </w:pPr>
    </w:p>
    <w:p w14:paraId="2A4365E5"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MODE DE VIE</w:t>
      </w:r>
      <w:r w:rsidRPr="00836E5B">
        <w:rPr>
          <w:rFonts w:ascii="Arial" w:eastAsia="Times New Roman" w:hAnsi="Arial" w:cs="Arial"/>
          <w:b/>
          <w:sz w:val="20"/>
          <w:lang w:eastAsia="fr-FR"/>
        </w:rPr>
        <w:t> :</w:t>
      </w:r>
    </w:p>
    <w:p w14:paraId="76A8CBFE"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Patiente autonome vivant seule à domicile.</w:t>
      </w:r>
    </w:p>
    <w:p w14:paraId="44A6CC41" w14:textId="77777777" w:rsidR="00836E5B" w:rsidRPr="00836E5B" w:rsidRDefault="00836E5B" w:rsidP="00836E5B">
      <w:pPr>
        <w:spacing w:after="0" w:line="240" w:lineRule="auto"/>
        <w:jc w:val="both"/>
        <w:rPr>
          <w:rFonts w:ascii="Arial" w:eastAsia="Times New Roman" w:hAnsi="Arial" w:cs="Arial"/>
          <w:sz w:val="20"/>
          <w:lang w:eastAsia="fr-FR"/>
        </w:rPr>
      </w:pPr>
    </w:p>
    <w:p w14:paraId="4DF6B28D" w14:textId="77777777" w:rsidR="00836E5B" w:rsidRPr="00836E5B" w:rsidRDefault="00836E5B" w:rsidP="00836E5B">
      <w:pPr>
        <w:spacing w:after="0" w:line="240" w:lineRule="auto"/>
        <w:jc w:val="both"/>
        <w:rPr>
          <w:rFonts w:ascii="Arial" w:eastAsia="Times New Roman" w:hAnsi="Arial" w:cs="Arial"/>
          <w:sz w:val="20"/>
          <w:lang w:eastAsia="fr-FR"/>
        </w:rPr>
      </w:pPr>
    </w:p>
    <w:p w14:paraId="0C2CBC5E"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HISTOIRE DE LA MALADIE</w:t>
      </w:r>
      <w:r w:rsidRPr="00836E5B">
        <w:rPr>
          <w:rFonts w:ascii="Arial" w:eastAsia="Times New Roman" w:hAnsi="Arial" w:cs="Arial"/>
          <w:b/>
          <w:sz w:val="20"/>
          <w:lang w:eastAsia="fr-FR"/>
        </w:rPr>
        <w:t> :</w:t>
      </w:r>
    </w:p>
    <w:p w14:paraId="2B432044" w14:textId="77777777" w:rsidR="00836E5B" w:rsidRPr="00836E5B" w:rsidRDefault="00E04E71" w:rsidP="00836E5B">
      <w:pPr>
        <w:spacing w:after="0" w:line="240" w:lineRule="auto"/>
        <w:jc w:val="both"/>
        <w:rPr>
          <w:rFonts w:ascii="Arial" w:eastAsia="Times New Roman" w:hAnsi="Arial" w:cs="Arial"/>
          <w:sz w:val="20"/>
          <w:lang w:eastAsia="fr-FR"/>
        </w:rPr>
      </w:pPr>
      <w:r>
        <w:rPr>
          <w:rFonts w:ascii="Arial" w:eastAsia="Times New Roman" w:hAnsi="Arial" w:cs="Arial"/>
          <w:sz w:val="20"/>
          <w:lang w:eastAsia="fr-FR"/>
        </w:rPr>
        <w:t>Le 03/04</w:t>
      </w:r>
      <w:r w:rsidR="00836E5B" w:rsidRPr="00836E5B">
        <w:rPr>
          <w:rFonts w:ascii="Arial" w:eastAsia="Times New Roman" w:hAnsi="Arial" w:cs="Arial"/>
          <w:sz w:val="20"/>
          <w:lang w:eastAsia="fr-FR"/>
        </w:rPr>
        <w:t xml:space="preserve"> vers 19h, apparition d’une hémiparésie droite avec troubles de l’élocution, motivant une consultation aux urgences.</w:t>
      </w:r>
    </w:p>
    <w:p w14:paraId="49399A6F" w14:textId="3E1755C6"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 xml:space="preserve">A son arrivée, un scanner cérébral injecté est réalisé en urgence, retrouvant une lésion unique </w:t>
      </w:r>
      <w:proofErr w:type="spellStart"/>
      <w:r w:rsidR="007D6089">
        <w:rPr>
          <w:rFonts w:ascii="Arial" w:eastAsia="Times New Roman" w:hAnsi="Arial" w:cs="Arial"/>
          <w:sz w:val="20"/>
          <w:lang w:eastAsia="fr-FR"/>
        </w:rPr>
        <w:t>rontale</w:t>
      </w:r>
      <w:proofErr w:type="spellEnd"/>
      <w:r w:rsidR="007D6089">
        <w:rPr>
          <w:rFonts w:ascii="Arial" w:eastAsia="Times New Roman" w:hAnsi="Arial" w:cs="Arial"/>
          <w:sz w:val="20"/>
          <w:lang w:eastAsia="fr-FR"/>
        </w:rPr>
        <w:t xml:space="preserve"> </w:t>
      </w:r>
      <w:r w:rsidRPr="00836E5B">
        <w:rPr>
          <w:rFonts w:ascii="Arial" w:eastAsia="Times New Roman" w:hAnsi="Arial" w:cs="Arial"/>
          <w:sz w:val="20"/>
          <w:lang w:eastAsia="fr-FR"/>
        </w:rPr>
        <w:t xml:space="preserve">gauche </w:t>
      </w:r>
      <w:r w:rsidR="007F03DA">
        <w:rPr>
          <w:rFonts w:ascii="Arial" w:eastAsia="Times New Roman" w:hAnsi="Arial" w:cs="Arial"/>
          <w:sz w:val="20"/>
          <w:lang w:eastAsia="fr-FR"/>
        </w:rPr>
        <w:t xml:space="preserve">très </w:t>
      </w:r>
      <w:r w:rsidRPr="00836E5B">
        <w:rPr>
          <w:rFonts w:ascii="Arial" w:eastAsia="Times New Roman" w:hAnsi="Arial" w:cs="Arial"/>
          <w:sz w:val="20"/>
          <w:lang w:eastAsia="fr-FR"/>
        </w:rPr>
        <w:t>suspecte, sans indication neurochirurgicale urgente.</w:t>
      </w:r>
    </w:p>
    <w:p w14:paraId="41E663F9"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Dans ce contexte, la patiente est hospitalisée à l’UCSU dans l’attente d’une place en neurochirurgie.</w:t>
      </w:r>
    </w:p>
    <w:p w14:paraId="3E962485" w14:textId="77777777" w:rsidR="00836E5B" w:rsidRPr="00836E5B" w:rsidRDefault="00836E5B" w:rsidP="00836E5B">
      <w:pPr>
        <w:spacing w:after="0" w:line="240" w:lineRule="auto"/>
        <w:jc w:val="both"/>
        <w:rPr>
          <w:rFonts w:ascii="Arial" w:eastAsia="Times New Roman" w:hAnsi="Arial" w:cs="Arial"/>
          <w:sz w:val="20"/>
          <w:lang w:eastAsia="fr-FR"/>
        </w:rPr>
      </w:pPr>
    </w:p>
    <w:p w14:paraId="2103CCB9" w14:textId="77777777" w:rsidR="00836E5B" w:rsidRPr="00836E5B" w:rsidRDefault="00836E5B" w:rsidP="00836E5B">
      <w:pPr>
        <w:spacing w:after="0" w:line="240" w:lineRule="auto"/>
        <w:jc w:val="both"/>
        <w:rPr>
          <w:rFonts w:ascii="Arial" w:eastAsia="Times New Roman" w:hAnsi="Arial" w:cs="Arial"/>
          <w:sz w:val="20"/>
          <w:lang w:eastAsia="fr-FR"/>
        </w:rPr>
      </w:pPr>
    </w:p>
    <w:p w14:paraId="29D196D9"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EXAMEN CLINIQUE ET STATUT FONCTIONNEL</w:t>
      </w:r>
      <w:r w:rsidRPr="00836E5B">
        <w:rPr>
          <w:rFonts w:ascii="Arial" w:eastAsia="Times New Roman" w:hAnsi="Arial" w:cs="Arial"/>
          <w:b/>
          <w:sz w:val="20"/>
          <w:lang w:eastAsia="fr-FR"/>
        </w:rPr>
        <w:t> :</w:t>
      </w:r>
    </w:p>
    <w:p w14:paraId="6894BACD"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Tension artérielle : 134/84 mm Hg.</w:t>
      </w:r>
    </w:p>
    <w:p w14:paraId="2CCF3E9D"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Fréquence cardiaque : 86 bpm.</w:t>
      </w:r>
    </w:p>
    <w:p w14:paraId="25A1D558"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Saturation : 99% en air ambiant.</w:t>
      </w:r>
    </w:p>
    <w:p w14:paraId="4C824F4F" w14:textId="77777777" w:rsidR="00836E5B" w:rsidRPr="00836E5B" w:rsidRDefault="00836E5B" w:rsidP="00836E5B">
      <w:pPr>
        <w:spacing w:after="0" w:line="240" w:lineRule="auto"/>
        <w:jc w:val="both"/>
        <w:rPr>
          <w:rFonts w:ascii="Arial" w:eastAsia="Times New Roman" w:hAnsi="Arial" w:cs="Arial"/>
          <w:sz w:val="20"/>
          <w:lang w:val="en-US" w:eastAsia="fr-FR"/>
        </w:rPr>
      </w:pPr>
      <w:r w:rsidRPr="00836E5B">
        <w:rPr>
          <w:rFonts w:ascii="Arial" w:eastAsia="Times New Roman" w:hAnsi="Arial" w:cs="Arial"/>
          <w:sz w:val="20"/>
          <w:lang w:val="en-US" w:eastAsia="fr-FR"/>
        </w:rPr>
        <w:t>Temperature: 37,2°C.</w:t>
      </w:r>
    </w:p>
    <w:p w14:paraId="3E296856" w14:textId="77777777" w:rsidR="00836E5B" w:rsidRPr="00836E5B" w:rsidRDefault="00836E5B" w:rsidP="00836E5B">
      <w:pPr>
        <w:spacing w:after="0" w:line="240" w:lineRule="auto"/>
        <w:jc w:val="both"/>
        <w:rPr>
          <w:rFonts w:ascii="Arial" w:eastAsia="Times New Roman" w:hAnsi="Arial" w:cs="Arial"/>
          <w:sz w:val="20"/>
          <w:lang w:val="en-US" w:eastAsia="fr-FR"/>
        </w:rPr>
      </w:pPr>
      <w:proofErr w:type="gramStart"/>
      <w:r w:rsidRPr="00836E5B">
        <w:rPr>
          <w:rFonts w:ascii="Arial" w:eastAsia="Times New Roman" w:hAnsi="Arial" w:cs="Arial"/>
          <w:sz w:val="20"/>
          <w:lang w:val="en-US" w:eastAsia="fr-FR"/>
        </w:rPr>
        <w:t>Glasgow :</w:t>
      </w:r>
      <w:proofErr w:type="gramEnd"/>
      <w:r w:rsidRPr="00836E5B">
        <w:rPr>
          <w:rFonts w:ascii="Arial" w:eastAsia="Times New Roman" w:hAnsi="Arial" w:cs="Arial"/>
          <w:sz w:val="20"/>
          <w:lang w:val="en-US" w:eastAsia="fr-FR"/>
        </w:rPr>
        <w:t xml:space="preserve"> 15.</w:t>
      </w:r>
    </w:p>
    <w:p w14:paraId="55946E87" w14:textId="77777777" w:rsidR="00836E5B" w:rsidRPr="00836E5B" w:rsidRDefault="00836E5B" w:rsidP="00836E5B">
      <w:pPr>
        <w:spacing w:after="0" w:line="240" w:lineRule="auto"/>
        <w:jc w:val="both"/>
        <w:rPr>
          <w:rFonts w:ascii="Arial" w:eastAsia="Times New Roman" w:hAnsi="Arial" w:cs="Arial"/>
          <w:sz w:val="20"/>
          <w:lang w:val="en-US" w:eastAsia="fr-FR"/>
        </w:rPr>
      </w:pPr>
      <w:proofErr w:type="gramStart"/>
      <w:r w:rsidRPr="00836E5B">
        <w:rPr>
          <w:rFonts w:ascii="Arial" w:eastAsia="Times New Roman" w:hAnsi="Arial" w:cs="Arial"/>
          <w:sz w:val="20"/>
          <w:lang w:val="en-US" w:eastAsia="fr-FR"/>
        </w:rPr>
        <w:t>EVA :</w:t>
      </w:r>
      <w:proofErr w:type="gramEnd"/>
      <w:r w:rsidRPr="00836E5B">
        <w:rPr>
          <w:rFonts w:ascii="Arial" w:eastAsia="Times New Roman" w:hAnsi="Arial" w:cs="Arial"/>
          <w:sz w:val="20"/>
          <w:lang w:val="en-US" w:eastAsia="fr-FR"/>
        </w:rPr>
        <w:t xml:space="preserve"> 0.</w:t>
      </w:r>
    </w:p>
    <w:p w14:paraId="3A610F3A" w14:textId="77777777" w:rsidR="00836E5B" w:rsidRPr="00836E5B" w:rsidRDefault="00836E5B" w:rsidP="00836E5B">
      <w:pPr>
        <w:spacing w:after="0" w:line="240" w:lineRule="auto"/>
        <w:jc w:val="both"/>
        <w:rPr>
          <w:rFonts w:ascii="Arial" w:eastAsia="Times New Roman" w:hAnsi="Arial" w:cs="Arial"/>
          <w:sz w:val="20"/>
          <w:lang w:val="en-US" w:eastAsia="fr-FR"/>
        </w:rPr>
      </w:pPr>
      <w:proofErr w:type="spellStart"/>
      <w:r w:rsidRPr="00836E5B">
        <w:rPr>
          <w:rFonts w:ascii="Arial" w:eastAsia="Times New Roman" w:hAnsi="Arial" w:cs="Arial"/>
          <w:sz w:val="20"/>
          <w:lang w:val="en-US" w:eastAsia="fr-FR"/>
        </w:rPr>
        <w:t>Dextro</w:t>
      </w:r>
      <w:proofErr w:type="spellEnd"/>
      <w:r w:rsidRPr="00836E5B">
        <w:rPr>
          <w:rFonts w:ascii="Arial" w:eastAsia="Times New Roman" w:hAnsi="Arial" w:cs="Arial"/>
          <w:sz w:val="20"/>
          <w:lang w:val="en-US" w:eastAsia="fr-FR"/>
        </w:rPr>
        <w:t xml:space="preserve"> </w:t>
      </w:r>
      <w:r w:rsidRPr="00836E5B">
        <w:rPr>
          <w:rFonts w:ascii="Arial" w:eastAsia="Times New Roman" w:hAnsi="Arial" w:cs="Arial"/>
          <w:sz w:val="20"/>
          <w:lang w:eastAsia="fr-FR"/>
        </w:rPr>
        <w:t>normale</w:t>
      </w:r>
      <w:r w:rsidRPr="00836E5B">
        <w:rPr>
          <w:rFonts w:ascii="Arial" w:eastAsia="Times New Roman" w:hAnsi="Arial" w:cs="Arial"/>
          <w:sz w:val="20"/>
          <w:lang w:val="en-US" w:eastAsia="fr-FR"/>
        </w:rPr>
        <w:t>.</w:t>
      </w:r>
    </w:p>
    <w:p w14:paraId="38920A46" w14:textId="77777777" w:rsidR="00836E5B" w:rsidRPr="00836E5B" w:rsidRDefault="00836E5B" w:rsidP="00836E5B">
      <w:pPr>
        <w:spacing w:after="0" w:line="240" w:lineRule="auto"/>
        <w:jc w:val="both"/>
        <w:rPr>
          <w:rFonts w:ascii="Arial" w:eastAsia="Times New Roman" w:hAnsi="Arial" w:cs="Arial"/>
          <w:sz w:val="20"/>
          <w:lang w:val="en-US" w:eastAsia="fr-FR"/>
        </w:rPr>
      </w:pPr>
      <w:r w:rsidRPr="00836E5B">
        <w:rPr>
          <w:rFonts w:ascii="Arial" w:eastAsia="Times New Roman" w:hAnsi="Arial" w:cs="Arial"/>
          <w:sz w:val="20"/>
          <w:lang w:eastAsia="fr-FR"/>
        </w:rPr>
        <w:t>Examen</w:t>
      </w:r>
      <w:r w:rsidRPr="00836E5B">
        <w:rPr>
          <w:rFonts w:ascii="Arial" w:eastAsia="Times New Roman" w:hAnsi="Arial" w:cs="Arial"/>
          <w:sz w:val="20"/>
          <w:lang w:val="en-US" w:eastAsia="fr-FR"/>
        </w:rPr>
        <w:t xml:space="preserve"> </w:t>
      </w:r>
      <w:proofErr w:type="gramStart"/>
      <w:r w:rsidRPr="00836E5B">
        <w:rPr>
          <w:rFonts w:ascii="Arial" w:eastAsia="Times New Roman" w:hAnsi="Arial" w:cs="Arial"/>
          <w:sz w:val="20"/>
          <w:lang w:eastAsia="fr-FR"/>
        </w:rPr>
        <w:t>neurologique</w:t>
      </w:r>
      <w:r w:rsidRPr="00836E5B">
        <w:rPr>
          <w:rFonts w:ascii="Arial" w:eastAsia="Times New Roman" w:hAnsi="Arial" w:cs="Arial"/>
          <w:sz w:val="20"/>
          <w:lang w:val="en-US" w:eastAsia="fr-FR"/>
        </w:rPr>
        <w:t>:</w:t>
      </w:r>
      <w:proofErr w:type="gramEnd"/>
    </w:p>
    <w:p w14:paraId="55A0EFFA" w14:textId="77777777" w:rsidR="00836E5B" w:rsidRPr="00836E5B" w:rsidRDefault="00836E5B" w:rsidP="00836E5B">
      <w:pPr>
        <w:numPr>
          <w:ilvl w:val="0"/>
          <w:numId w:val="5"/>
        </w:numPr>
        <w:spacing w:after="0" w:line="240" w:lineRule="auto"/>
        <w:jc w:val="both"/>
        <w:rPr>
          <w:rFonts w:ascii="Arial" w:eastAsia="Times New Roman" w:hAnsi="Arial" w:cs="Arial"/>
          <w:sz w:val="20"/>
          <w:lang w:val="en-US" w:eastAsia="fr-FR"/>
        </w:rPr>
      </w:pPr>
      <w:r w:rsidRPr="00836E5B">
        <w:rPr>
          <w:rFonts w:ascii="Arial" w:eastAsia="Times New Roman" w:hAnsi="Arial" w:cs="Arial"/>
          <w:sz w:val="20"/>
          <w:lang w:eastAsia="fr-FR"/>
        </w:rPr>
        <w:t xml:space="preserve">Hémiparésie </w:t>
      </w:r>
      <w:proofErr w:type="spellStart"/>
      <w:r w:rsidRPr="00836E5B">
        <w:rPr>
          <w:rFonts w:ascii="Arial" w:eastAsia="Times New Roman" w:hAnsi="Arial" w:cs="Arial"/>
          <w:sz w:val="20"/>
          <w:lang w:eastAsia="fr-FR"/>
        </w:rPr>
        <w:t>brachio</w:t>
      </w:r>
      <w:proofErr w:type="spellEnd"/>
      <w:r w:rsidRPr="00836E5B">
        <w:rPr>
          <w:rFonts w:ascii="Arial" w:eastAsia="Times New Roman" w:hAnsi="Arial" w:cs="Arial"/>
          <w:sz w:val="20"/>
          <w:lang w:val="en-US" w:eastAsia="fr-FR"/>
        </w:rPr>
        <w:t>-</w:t>
      </w:r>
      <w:r w:rsidRPr="00836E5B">
        <w:rPr>
          <w:rFonts w:ascii="Arial" w:eastAsia="Times New Roman" w:hAnsi="Arial" w:cs="Arial"/>
          <w:sz w:val="20"/>
          <w:lang w:eastAsia="fr-FR"/>
        </w:rPr>
        <w:t>faciale droite</w:t>
      </w:r>
      <w:r w:rsidRPr="00836E5B">
        <w:rPr>
          <w:rFonts w:ascii="Arial" w:eastAsia="Times New Roman" w:hAnsi="Arial" w:cs="Arial"/>
          <w:sz w:val="20"/>
          <w:lang w:val="en-US" w:eastAsia="fr-FR"/>
        </w:rPr>
        <w:t>.</w:t>
      </w:r>
    </w:p>
    <w:p w14:paraId="1A232DC7" w14:textId="77777777" w:rsidR="00836E5B" w:rsidRPr="00836E5B" w:rsidRDefault="00836E5B" w:rsidP="00836E5B">
      <w:pPr>
        <w:numPr>
          <w:ilvl w:val="0"/>
          <w:numId w:val="5"/>
        </w:numPr>
        <w:spacing w:after="0" w:line="240" w:lineRule="auto"/>
        <w:jc w:val="both"/>
        <w:rPr>
          <w:rFonts w:ascii="Arial" w:eastAsia="Times New Roman" w:hAnsi="Arial" w:cs="Arial"/>
          <w:sz w:val="20"/>
          <w:lang w:val="en-US" w:eastAsia="fr-FR"/>
        </w:rPr>
      </w:pPr>
      <w:r w:rsidRPr="00836E5B">
        <w:rPr>
          <w:rFonts w:ascii="Arial" w:eastAsia="Times New Roman" w:hAnsi="Arial" w:cs="Arial"/>
          <w:sz w:val="20"/>
          <w:lang w:eastAsia="fr-FR"/>
        </w:rPr>
        <w:t xml:space="preserve">Aphasie </w:t>
      </w:r>
      <w:r w:rsidRPr="00836E5B">
        <w:rPr>
          <w:rFonts w:ascii="Arial" w:eastAsia="Times New Roman" w:hAnsi="Arial" w:cs="Arial"/>
          <w:sz w:val="20"/>
          <w:lang w:val="en-US" w:eastAsia="fr-FR"/>
        </w:rPr>
        <w:t>mortice.</w:t>
      </w:r>
    </w:p>
    <w:p w14:paraId="529FEA9B" w14:textId="77777777" w:rsidR="00836E5B" w:rsidRPr="00836E5B" w:rsidRDefault="00836E5B" w:rsidP="00836E5B">
      <w:pPr>
        <w:numPr>
          <w:ilvl w:val="0"/>
          <w:numId w:val="5"/>
        </w:numPr>
        <w:spacing w:after="0" w:line="240" w:lineRule="auto"/>
        <w:jc w:val="both"/>
        <w:rPr>
          <w:rFonts w:ascii="Arial" w:eastAsia="Times New Roman" w:hAnsi="Arial" w:cs="Arial"/>
          <w:sz w:val="20"/>
          <w:lang w:val="en-US" w:eastAsia="fr-FR"/>
        </w:rPr>
      </w:pPr>
      <w:r w:rsidRPr="00836E5B">
        <w:rPr>
          <w:rFonts w:ascii="Arial" w:eastAsia="Times New Roman" w:hAnsi="Arial" w:cs="Arial"/>
          <w:sz w:val="20"/>
          <w:lang w:eastAsia="fr-FR"/>
        </w:rPr>
        <w:t xml:space="preserve">Pupilles </w:t>
      </w:r>
      <w:proofErr w:type="spellStart"/>
      <w:r w:rsidRPr="00836E5B">
        <w:rPr>
          <w:rFonts w:ascii="Arial" w:eastAsia="Times New Roman" w:hAnsi="Arial" w:cs="Arial"/>
          <w:sz w:val="20"/>
          <w:lang w:eastAsia="fr-FR"/>
        </w:rPr>
        <w:t>normosymétriques</w:t>
      </w:r>
      <w:proofErr w:type="spellEnd"/>
      <w:r w:rsidRPr="00836E5B">
        <w:rPr>
          <w:rFonts w:ascii="Arial" w:eastAsia="Times New Roman" w:hAnsi="Arial" w:cs="Arial"/>
          <w:sz w:val="20"/>
          <w:lang w:val="en-US" w:eastAsia="fr-FR"/>
        </w:rPr>
        <w:t xml:space="preserve">, </w:t>
      </w:r>
      <w:r w:rsidRPr="00836E5B">
        <w:rPr>
          <w:rFonts w:ascii="Arial" w:eastAsia="Times New Roman" w:hAnsi="Arial" w:cs="Arial"/>
          <w:sz w:val="20"/>
          <w:lang w:eastAsia="fr-FR"/>
        </w:rPr>
        <w:t>réactives</w:t>
      </w:r>
      <w:r w:rsidRPr="00836E5B">
        <w:rPr>
          <w:rFonts w:ascii="Arial" w:eastAsia="Times New Roman" w:hAnsi="Arial" w:cs="Arial"/>
          <w:sz w:val="20"/>
          <w:lang w:val="en-US" w:eastAsia="fr-FR"/>
        </w:rPr>
        <w:t xml:space="preserve">, </w:t>
      </w:r>
      <w:r w:rsidRPr="00836E5B">
        <w:rPr>
          <w:rFonts w:ascii="Arial" w:eastAsia="Times New Roman" w:hAnsi="Arial" w:cs="Arial"/>
          <w:sz w:val="20"/>
          <w:lang w:eastAsia="fr-FR"/>
        </w:rPr>
        <w:t>bilatérales</w:t>
      </w:r>
      <w:r w:rsidRPr="00836E5B">
        <w:rPr>
          <w:rFonts w:ascii="Arial" w:eastAsia="Times New Roman" w:hAnsi="Arial" w:cs="Arial"/>
          <w:sz w:val="20"/>
          <w:lang w:val="en-US" w:eastAsia="fr-FR"/>
        </w:rPr>
        <w:t>.</w:t>
      </w:r>
    </w:p>
    <w:p w14:paraId="5BF828CE" w14:textId="77777777" w:rsidR="00836E5B" w:rsidRPr="00836E5B" w:rsidRDefault="00836E5B" w:rsidP="00836E5B">
      <w:pPr>
        <w:numPr>
          <w:ilvl w:val="0"/>
          <w:numId w:val="5"/>
        </w:num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Pas d’anisocorie, de syndrome méningé, cérébelleux ou vestibulaire.</w:t>
      </w:r>
    </w:p>
    <w:p w14:paraId="5A424146"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Examen cardiopulmonaire :</w:t>
      </w:r>
    </w:p>
    <w:p w14:paraId="3ACEFD7C" w14:textId="77777777" w:rsidR="00836E5B" w:rsidRPr="00836E5B" w:rsidRDefault="00836E5B" w:rsidP="00836E5B">
      <w:pPr>
        <w:numPr>
          <w:ilvl w:val="0"/>
          <w:numId w:val="5"/>
        </w:num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Eupnée en air ambiant.</w:t>
      </w:r>
    </w:p>
    <w:p w14:paraId="31DF5CD5" w14:textId="77777777" w:rsidR="00836E5B" w:rsidRPr="00836E5B" w:rsidRDefault="00836E5B" w:rsidP="00836E5B">
      <w:pPr>
        <w:numPr>
          <w:ilvl w:val="0"/>
          <w:numId w:val="5"/>
        </w:num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Bruits du cœur réguliers, pas de souffle audible cardiaque.</w:t>
      </w:r>
    </w:p>
    <w:p w14:paraId="60F92899" w14:textId="77777777" w:rsidR="00836E5B" w:rsidRPr="00836E5B" w:rsidRDefault="00836E5B" w:rsidP="00836E5B">
      <w:pPr>
        <w:numPr>
          <w:ilvl w:val="0"/>
          <w:numId w:val="5"/>
        </w:num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Murmure vésiculaire bilatéral et symétrique, sans bruit surajouté.</w:t>
      </w:r>
    </w:p>
    <w:p w14:paraId="519771E3"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Examen abdominal : abdomen souple, dépressible, indolore.</w:t>
      </w:r>
    </w:p>
    <w:p w14:paraId="39F8F86B" w14:textId="77777777" w:rsidR="00836E5B" w:rsidRPr="00836E5B" w:rsidRDefault="00836E5B" w:rsidP="00836E5B">
      <w:pPr>
        <w:spacing w:after="0" w:line="240" w:lineRule="auto"/>
        <w:jc w:val="both"/>
        <w:rPr>
          <w:rFonts w:ascii="Arial" w:eastAsia="Times New Roman" w:hAnsi="Arial" w:cs="Arial"/>
          <w:sz w:val="20"/>
          <w:lang w:eastAsia="fr-FR"/>
        </w:rPr>
      </w:pPr>
    </w:p>
    <w:p w14:paraId="1F5EEA61"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EVOLUTION DANS LE SERVICE</w:t>
      </w:r>
      <w:r w:rsidRPr="00836E5B">
        <w:rPr>
          <w:rFonts w:ascii="Arial" w:eastAsia="Times New Roman" w:hAnsi="Arial" w:cs="Arial"/>
          <w:b/>
          <w:sz w:val="20"/>
          <w:lang w:eastAsia="fr-FR"/>
        </w:rPr>
        <w:t> :</w:t>
      </w:r>
    </w:p>
    <w:p w14:paraId="175245FC"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Patiente stable hémodynamiquement, respiratoire et neurologique.</w:t>
      </w:r>
    </w:p>
    <w:p w14:paraId="4A53979B"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 xml:space="preserve">Persistance du déficit avec hémiparésie </w:t>
      </w:r>
      <w:proofErr w:type="spellStart"/>
      <w:r w:rsidRPr="00836E5B">
        <w:rPr>
          <w:rFonts w:ascii="Arial" w:eastAsia="Times New Roman" w:hAnsi="Arial" w:cs="Arial"/>
          <w:sz w:val="20"/>
          <w:lang w:eastAsia="fr-FR"/>
        </w:rPr>
        <w:t>brachio</w:t>
      </w:r>
      <w:proofErr w:type="spellEnd"/>
      <w:r w:rsidRPr="00836E5B">
        <w:rPr>
          <w:rFonts w:ascii="Arial" w:eastAsia="Times New Roman" w:hAnsi="Arial" w:cs="Arial"/>
          <w:sz w:val="20"/>
          <w:lang w:eastAsia="fr-FR"/>
        </w:rPr>
        <w:t>-faciale droite et aphasie de Broca.</w:t>
      </w:r>
    </w:p>
    <w:p w14:paraId="03EC04F5"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Pas de crise convulsive ni de céphalée pendant son hospitalisation, ni de vomissement.</w:t>
      </w:r>
    </w:p>
    <w:p w14:paraId="1086D0D9"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Poursuite du traitement introduit aux urgences avec corticoïde à 80 mg 3 fois par jour en iv et KEPPRA 500 mg 2 fois par jour en iv.</w:t>
      </w:r>
    </w:p>
    <w:p w14:paraId="1F06BDE5" w14:textId="77777777" w:rsidR="00836E5B" w:rsidRPr="00836E5B" w:rsidRDefault="00836E5B" w:rsidP="00836E5B">
      <w:pPr>
        <w:spacing w:after="0" w:line="240" w:lineRule="auto"/>
        <w:jc w:val="both"/>
        <w:rPr>
          <w:rFonts w:ascii="Arial" w:eastAsia="Times New Roman" w:hAnsi="Arial" w:cs="Arial"/>
          <w:sz w:val="20"/>
          <w:lang w:eastAsia="fr-FR"/>
        </w:rPr>
      </w:pPr>
    </w:p>
    <w:p w14:paraId="60AFC258"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ACTES TECHNIQUES, EXAMENS COMPLEMENTAIRES ET BIOLOGIQUES</w:t>
      </w:r>
      <w:r w:rsidRPr="00836E5B">
        <w:rPr>
          <w:rFonts w:ascii="Arial" w:eastAsia="Times New Roman" w:hAnsi="Arial" w:cs="Arial"/>
          <w:b/>
          <w:sz w:val="20"/>
          <w:lang w:eastAsia="fr-FR"/>
        </w:rPr>
        <w:t> :</w:t>
      </w:r>
    </w:p>
    <w:p w14:paraId="51BFA719"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Biologie normale.</w:t>
      </w:r>
    </w:p>
    <w:p w14:paraId="407A50F5" w14:textId="77777777" w:rsidR="00836E5B" w:rsidRPr="00836E5B" w:rsidRDefault="00836E5B" w:rsidP="00836E5B">
      <w:pPr>
        <w:spacing w:after="0" w:line="240" w:lineRule="auto"/>
        <w:jc w:val="both"/>
        <w:rPr>
          <w:rFonts w:ascii="Arial" w:eastAsia="Times New Roman" w:hAnsi="Arial" w:cs="Arial"/>
          <w:sz w:val="20"/>
          <w:lang w:eastAsia="fr-FR"/>
        </w:rPr>
      </w:pPr>
    </w:p>
    <w:p w14:paraId="2F80AFE8"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ECG : rythme sinusal régulier à 73 bpm sans trouble de la repolarisation ni de la conduction.</w:t>
      </w:r>
    </w:p>
    <w:p w14:paraId="76E91625" w14:textId="77777777" w:rsidR="00836E5B" w:rsidRPr="00836E5B" w:rsidRDefault="00836E5B" w:rsidP="00836E5B">
      <w:pPr>
        <w:spacing w:after="0" w:line="240" w:lineRule="auto"/>
        <w:jc w:val="both"/>
        <w:rPr>
          <w:rFonts w:ascii="Arial" w:eastAsia="Times New Roman" w:hAnsi="Arial" w:cs="Arial"/>
          <w:sz w:val="20"/>
          <w:lang w:eastAsia="fr-FR"/>
        </w:rPr>
      </w:pPr>
    </w:p>
    <w:p w14:paraId="6703727D" w14:textId="386FAA43"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lastRenderedPageBreak/>
        <w:t xml:space="preserve">Scanner cérébral injecté : syndrome de masse à 35 mm </w:t>
      </w:r>
      <w:r w:rsidR="007D6089">
        <w:rPr>
          <w:rFonts w:ascii="Arial" w:eastAsia="Times New Roman" w:hAnsi="Arial" w:cs="Arial"/>
          <w:sz w:val="20"/>
          <w:lang w:eastAsia="fr-FR"/>
        </w:rPr>
        <w:t>frontal</w:t>
      </w:r>
      <w:r w:rsidRPr="00836E5B">
        <w:rPr>
          <w:rFonts w:ascii="Arial" w:eastAsia="Times New Roman" w:hAnsi="Arial" w:cs="Arial"/>
          <w:sz w:val="20"/>
          <w:lang w:eastAsia="fr-FR"/>
        </w:rPr>
        <w:t xml:space="preserve"> gauche, partiellement hyperdense spontanément, avec une prise de contraste périphérique et un important œdème digitiforme pouvant faire évoquer soit une lésion secondaire soit une lésion primitive de type lymphome soit un abcès, à explorer par IRM cérébrale. </w:t>
      </w:r>
    </w:p>
    <w:p w14:paraId="0A4C18BA" w14:textId="77777777" w:rsidR="00836E5B" w:rsidRPr="00836E5B" w:rsidRDefault="00836E5B" w:rsidP="00836E5B">
      <w:pPr>
        <w:spacing w:after="0" w:line="240" w:lineRule="auto"/>
        <w:jc w:val="both"/>
        <w:rPr>
          <w:rFonts w:ascii="Arial" w:eastAsia="Times New Roman" w:hAnsi="Arial" w:cs="Arial"/>
          <w:sz w:val="20"/>
          <w:lang w:eastAsia="fr-FR"/>
        </w:rPr>
      </w:pPr>
    </w:p>
    <w:p w14:paraId="245D5FF4"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IRM cérébrale : lésion tumorale frontale gauche avec effet de masse sur le ventricule latéral gauche et début d’engagement sous-factoriel dont l’aspect évoque en premier li</w:t>
      </w:r>
      <w:r>
        <w:rPr>
          <w:rFonts w:ascii="Arial" w:eastAsia="Times New Roman" w:hAnsi="Arial" w:cs="Arial"/>
          <w:sz w:val="20"/>
          <w:lang w:eastAsia="fr-FR"/>
        </w:rPr>
        <w:t>eu une lésion gliale de type gli</w:t>
      </w:r>
      <w:r w:rsidRPr="00836E5B">
        <w:rPr>
          <w:rFonts w:ascii="Arial" w:eastAsia="Times New Roman" w:hAnsi="Arial" w:cs="Arial"/>
          <w:sz w:val="20"/>
          <w:lang w:eastAsia="fr-FR"/>
        </w:rPr>
        <w:t>oblastome.</w:t>
      </w:r>
    </w:p>
    <w:p w14:paraId="2D36D8F3" w14:textId="77777777" w:rsidR="00836E5B" w:rsidRPr="00836E5B" w:rsidRDefault="00836E5B" w:rsidP="00836E5B">
      <w:pPr>
        <w:spacing w:after="0" w:line="240" w:lineRule="auto"/>
        <w:jc w:val="both"/>
        <w:rPr>
          <w:rFonts w:ascii="Arial" w:eastAsia="Times New Roman" w:hAnsi="Arial" w:cs="Arial"/>
          <w:sz w:val="20"/>
          <w:lang w:eastAsia="fr-FR"/>
        </w:rPr>
      </w:pPr>
    </w:p>
    <w:p w14:paraId="2C2DBCCB"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Scanner TAP injecté : pas de lésion primitive suspecte.</w:t>
      </w:r>
    </w:p>
    <w:p w14:paraId="71B07B67" w14:textId="77777777" w:rsidR="00836E5B" w:rsidRPr="00836E5B" w:rsidRDefault="00836E5B" w:rsidP="00836E5B">
      <w:pPr>
        <w:spacing w:after="0" w:line="240" w:lineRule="auto"/>
        <w:jc w:val="both"/>
        <w:rPr>
          <w:rFonts w:ascii="Arial" w:eastAsia="Times New Roman" w:hAnsi="Arial" w:cs="Arial"/>
          <w:sz w:val="20"/>
          <w:lang w:eastAsia="fr-FR"/>
        </w:rPr>
      </w:pPr>
    </w:p>
    <w:p w14:paraId="1A7B1F72" w14:textId="77777777" w:rsidR="00836E5B" w:rsidRPr="00836E5B" w:rsidRDefault="00836E5B" w:rsidP="00836E5B">
      <w:pPr>
        <w:spacing w:after="0" w:line="240" w:lineRule="auto"/>
        <w:jc w:val="both"/>
        <w:rPr>
          <w:rFonts w:ascii="Arial" w:eastAsia="Times New Roman" w:hAnsi="Arial" w:cs="Arial"/>
          <w:sz w:val="20"/>
          <w:lang w:eastAsia="fr-FR"/>
        </w:rPr>
      </w:pPr>
    </w:p>
    <w:p w14:paraId="00722A2A"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SYNTHESE MEDICALE DU SEJOUR</w:t>
      </w:r>
      <w:r w:rsidRPr="00836E5B">
        <w:rPr>
          <w:rFonts w:ascii="Arial" w:eastAsia="Times New Roman" w:hAnsi="Arial" w:cs="Arial"/>
          <w:b/>
          <w:sz w:val="20"/>
          <w:lang w:eastAsia="fr-FR"/>
        </w:rPr>
        <w:t> :</w:t>
      </w:r>
    </w:p>
    <w:p w14:paraId="36C84741" w14:textId="502A37D8"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 xml:space="preserve">Découverte d’une lésion cérébrale </w:t>
      </w:r>
      <w:r w:rsidR="00DC2DDC">
        <w:rPr>
          <w:rFonts w:ascii="Arial" w:eastAsia="Times New Roman" w:hAnsi="Arial" w:cs="Arial"/>
          <w:sz w:val="20"/>
          <w:lang w:eastAsia="fr-FR"/>
        </w:rPr>
        <w:t xml:space="preserve">de type glioblastome </w:t>
      </w:r>
      <w:r w:rsidRPr="00836E5B">
        <w:rPr>
          <w:rFonts w:ascii="Arial" w:eastAsia="Times New Roman" w:hAnsi="Arial" w:cs="Arial"/>
          <w:sz w:val="20"/>
          <w:lang w:eastAsia="fr-FR"/>
        </w:rPr>
        <w:t xml:space="preserve">unique </w:t>
      </w:r>
      <w:proofErr w:type="spellStart"/>
      <w:r w:rsidRPr="00836E5B">
        <w:rPr>
          <w:rFonts w:ascii="Arial" w:eastAsia="Times New Roman" w:hAnsi="Arial" w:cs="Arial"/>
          <w:sz w:val="20"/>
          <w:lang w:eastAsia="fr-FR"/>
        </w:rPr>
        <w:t>fronto</w:t>
      </w:r>
      <w:proofErr w:type="spellEnd"/>
      <w:r w:rsidRPr="00836E5B">
        <w:rPr>
          <w:rFonts w:ascii="Arial" w:eastAsia="Times New Roman" w:hAnsi="Arial" w:cs="Arial"/>
          <w:sz w:val="20"/>
          <w:lang w:eastAsia="fr-FR"/>
        </w:rPr>
        <w:t>-pariétale gauche avec effet de masse et début d’engagement sous-</w:t>
      </w:r>
      <w:proofErr w:type="gramStart"/>
      <w:r w:rsidRPr="00836E5B">
        <w:rPr>
          <w:rFonts w:ascii="Arial" w:eastAsia="Times New Roman" w:hAnsi="Arial" w:cs="Arial"/>
          <w:sz w:val="20"/>
          <w:lang w:eastAsia="fr-FR"/>
        </w:rPr>
        <w:t xml:space="preserve">factoriel </w:t>
      </w:r>
      <w:r w:rsidR="00DC2DDC">
        <w:rPr>
          <w:rFonts w:ascii="Arial" w:eastAsia="Times New Roman" w:hAnsi="Arial" w:cs="Arial"/>
          <w:sz w:val="20"/>
          <w:lang w:eastAsia="fr-FR"/>
        </w:rPr>
        <w:t>.</w:t>
      </w:r>
      <w:proofErr w:type="gramEnd"/>
    </w:p>
    <w:p w14:paraId="3C6252B8" w14:textId="77777777" w:rsidR="00836E5B" w:rsidRPr="00836E5B" w:rsidRDefault="00836E5B" w:rsidP="00836E5B">
      <w:pPr>
        <w:spacing w:after="0" w:line="240" w:lineRule="auto"/>
        <w:jc w:val="both"/>
        <w:rPr>
          <w:rFonts w:ascii="Arial" w:eastAsia="Times New Roman" w:hAnsi="Arial" w:cs="Arial"/>
          <w:sz w:val="20"/>
          <w:lang w:eastAsia="fr-FR"/>
        </w:rPr>
      </w:pPr>
    </w:p>
    <w:p w14:paraId="230C3470" w14:textId="77777777" w:rsidR="00836E5B" w:rsidRPr="00836E5B" w:rsidRDefault="00836E5B" w:rsidP="00836E5B">
      <w:pPr>
        <w:spacing w:after="0" w:line="240" w:lineRule="auto"/>
        <w:jc w:val="both"/>
        <w:rPr>
          <w:rFonts w:ascii="Arial" w:eastAsia="Times New Roman" w:hAnsi="Arial" w:cs="Arial"/>
          <w:sz w:val="20"/>
          <w:lang w:eastAsia="fr-FR"/>
        </w:rPr>
      </w:pPr>
    </w:p>
    <w:p w14:paraId="26446D21"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Patiente porteuse de BMR ou BHRe : NON.</w:t>
      </w:r>
    </w:p>
    <w:p w14:paraId="2A1B468F"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Patiente transfusée au cours du séjour : NON.</w:t>
      </w:r>
    </w:p>
    <w:p w14:paraId="736E9EEF"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Evènement indésirable : NON.</w:t>
      </w:r>
    </w:p>
    <w:p w14:paraId="75D41F7F" w14:textId="77777777" w:rsidR="00836E5B" w:rsidRPr="00836E5B" w:rsidRDefault="00836E5B" w:rsidP="00836E5B">
      <w:pPr>
        <w:spacing w:after="0" w:line="240" w:lineRule="auto"/>
        <w:jc w:val="both"/>
        <w:rPr>
          <w:rFonts w:ascii="Arial" w:eastAsia="Times New Roman" w:hAnsi="Arial" w:cs="Arial"/>
          <w:sz w:val="20"/>
          <w:u w:val="single"/>
          <w:lang w:eastAsia="fr-FR"/>
        </w:rPr>
      </w:pPr>
    </w:p>
    <w:p w14:paraId="65C941E5" w14:textId="77777777" w:rsidR="00836E5B" w:rsidRPr="00836E5B" w:rsidRDefault="00836E5B" w:rsidP="00836E5B">
      <w:pPr>
        <w:spacing w:after="0" w:line="240" w:lineRule="auto"/>
        <w:jc w:val="both"/>
        <w:rPr>
          <w:rFonts w:ascii="Arial" w:eastAsia="Times New Roman" w:hAnsi="Arial" w:cs="Arial"/>
          <w:sz w:val="20"/>
          <w:lang w:eastAsia="fr-FR"/>
        </w:rPr>
      </w:pPr>
    </w:p>
    <w:p w14:paraId="74F1EAA5"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TRAITEMENTS MEDICAMENTEUX</w:t>
      </w:r>
      <w:r w:rsidRPr="00836E5B">
        <w:rPr>
          <w:rFonts w:ascii="Arial" w:eastAsia="Times New Roman" w:hAnsi="Arial" w:cs="Arial"/>
          <w:b/>
          <w:sz w:val="20"/>
          <w:lang w:eastAsia="fr-FR"/>
        </w:rPr>
        <w:t> :</w:t>
      </w:r>
    </w:p>
    <w:tbl>
      <w:tblPr>
        <w:tblW w:w="10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4677"/>
      </w:tblGrid>
      <w:tr w:rsidR="00836E5B" w:rsidRPr="00836E5B" w14:paraId="1C7B6194" w14:textId="77777777" w:rsidTr="00836E5B">
        <w:tc>
          <w:tcPr>
            <w:tcW w:w="3119" w:type="dxa"/>
            <w:tcBorders>
              <w:top w:val="single" w:sz="4" w:space="0" w:color="auto"/>
              <w:left w:val="single" w:sz="4" w:space="0" w:color="auto"/>
              <w:bottom w:val="single" w:sz="4" w:space="0" w:color="auto"/>
              <w:right w:val="single" w:sz="4" w:space="0" w:color="auto"/>
            </w:tcBorders>
            <w:hideMark/>
          </w:tcPr>
          <w:p w14:paraId="7FC3B0D3" w14:textId="77777777" w:rsidR="00836E5B" w:rsidRPr="00836E5B" w:rsidRDefault="00836E5B" w:rsidP="00836E5B">
            <w:pPr>
              <w:spacing w:after="0" w:line="240" w:lineRule="auto"/>
              <w:rPr>
                <w:rFonts w:ascii="Arial" w:eastAsia="Times New Roman" w:hAnsi="Arial" w:cs="Arial"/>
                <w:sz w:val="20"/>
                <w:lang w:eastAsia="fr-FR"/>
              </w:rPr>
            </w:pPr>
            <w:r w:rsidRPr="00836E5B">
              <w:rPr>
                <w:rFonts w:ascii="Arial" w:eastAsia="Times New Roman" w:hAnsi="Arial" w:cs="Arial"/>
                <w:sz w:val="20"/>
                <w:lang w:eastAsia="fr-FR"/>
              </w:rPr>
              <w:t>Médicaments habituels avant l’admission (traitement personnel du patient)</w:t>
            </w:r>
          </w:p>
        </w:tc>
        <w:tc>
          <w:tcPr>
            <w:tcW w:w="2835" w:type="dxa"/>
            <w:tcBorders>
              <w:top w:val="single" w:sz="4" w:space="0" w:color="auto"/>
              <w:left w:val="single" w:sz="4" w:space="0" w:color="auto"/>
              <w:bottom w:val="single" w:sz="4" w:space="0" w:color="auto"/>
              <w:right w:val="single" w:sz="4" w:space="0" w:color="auto"/>
            </w:tcBorders>
            <w:hideMark/>
          </w:tcPr>
          <w:p w14:paraId="11639CA5" w14:textId="77777777" w:rsidR="00836E5B" w:rsidRPr="00836E5B" w:rsidRDefault="00836E5B" w:rsidP="00836E5B">
            <w:pPr>
              <w:spacing w:after="0" w:line="240" w:lineRule="auto"/>
              <w:rPr>
                <w:rFonts w:ascii="Arial" w:eastAsia="Times New Roman" w:hAnsi="Arial" w:cs="Arial"/>
                <w:sz w:val="20"/>
                <w:lang w:eastAsia="fr-FR"/>
              </w:rPr>
            </w:pPr>
            <w:r w:rsidRPr="00836E5B">
              <w:rPr>
                <w:rFonts w:ascii="Arial" w:eastAsia="Times New Roman" w:hAnsi="Arial" w:cs="Arial"/>
                <w:sz w:val="20"/>
                <w:lang w:eastAsia="fr-FR"/>
              </w:rPr>
              <w:t>Médicaments prescrits à la sortie</w:t>
            </w:r>
          </w:p>
        </w:tc>
        <w:tc>
          <w:tcPr>
            <w:tcW w:w="4677" w:type="dxa"/>
            <w:tcBorders>
              <w:top w:val="single" w:sz="4" w:space="0" w:color="auto"/>
              <w:left w:val="single" w:sz="4" w:space="0" w:color="auto"/>
              <w:bottom w:val="single" w:sz="4" w:space="0" w:color="auto"/>
              <w:right w:val="single" w:sz="4" w:space="0" w:color="auto"/>
            </w:tcBorders>
            <w:hideMark/>
          </w:tcPr>
          <w:p w14:paraId="357D2183" w14:textId="77777777" w:rsidR="00836E5B" w:rsidRPr="00836E5B" w:rsidRDefault="00836E5B" w:rsidP="00836E5B">
            <w:pPr>
              <w:spacing w:after="0" w:line="240" w:lineRule="auto"/>
              <w:rPr>
                <w:rFonts w:ascii="Arial" w:eastAsia="Times New Roman" w:hAnsi="Arial" w:cs="Arial"/>
                <w:sz w:val="20"/>
                <w:lang w:eastAsia="fr-FR"/>
              </w:rPr>
            </w:pPr>
            <w:r w:rsidRPr="00836E5B">
              <w:rPr>
                <w:rFonts w:ascii="Arial" w:eastAsia="Times New Roman" w:hAnsi="Arial" w:cs="Arial"/>
                <w:sz w:val="20"/>
                <w:lang w:eastAsia="fr-FR"/>
              </w:rPr>
              <w:t>Commentaires</w:t>
            </w:r>
          </w:p>
        </w:tc>
      </w:tr>
      <w:tr w:rsidR="00836E5B" w:rsidRPr="00836E5B" w14:paraId="35824082" w14:textId="77777777" w:rsidTr="00836E5B">
        <w:tc>
          <w:tcPr>
            <w:tcW w:w="3119" w:type="dxa"/>
            <w:tcBorders>
              <w:top w:val="single" w:sz="4" w:space="0" w:color="auto"/>
              <w:left w:val="single" w:sz="4" w:space="0" w:color="auto"/>
              <w:bottom w:val="single" w:sz="4" w:space="0" w:color="auto"/>
              <w:right w:val="single" w:sz="4" w:space="0" w:color="auto"/>
            </w:tcBorders>
            <w:hideMark/>
          </w:tcPr>
          <w:p w14:paraId="445B2D14"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 xml:space="preserve"> Aucun </w:t>
            </w:r>
          </w:p>
        </w:tc>
        <w:tc>
          <w:tcPr>
            <w:tcW w:w="2835" w:type="dxa"/>
            <w:tcBorders>
              <w:top w:val="single" w:sz="4" w:space="0" w:color="auto"/>
              <w:left w:val="single" w:sz="4" w:space="0" w:color="auto"/>
              <w:bottom w:val="single" w:sz="4" w:space="0" w:color="auto"/>
              <w:right w:val="single" w:sz="4" w:space="0" w:color="auto"/>
            </w:tcBorders>
            <w:hideMark/>
          </w:tcPr>
          <w:p w14:paraId="78DD2896" w14:textId="77777777" w:rsidR="00836E5B" w:rsidRPr="00836E5B" w:rsidRDefault="00836E5B" w:rsidP="00836E5B">
            <w:pPr>
              <w:spacing w:after="0" w:line="240" w:lineRule="auto"/>
              <w:jc w:val="both"/>
              <w:rPr>
                <w:rFonts w:ascii="Arial" w:eastAsia="Times New Roman" w:hAnsi="Arial" w:cs="Arial"/>
                <w:sz w:val="20"/>
                <w:lang w:eastAsia="fr-FR"/>
              </w:rPr>
            </w:pPr>
            <w:proofErr w:type="spellStart"/>
            <w:r w:rsidRPr="00836E5B">
              <w:rPr>
                <w:rFonts w:ascii="Arial" w:eastAsia="Times New Roman" w:hAnsi="Arial" w:cs="Arial"/>
                <w:sz w:val="20"/>
                <w:lang w:eastAsia="fr-FR"/>
              </w:rPr>
              <w:t>NaCl</w:t>
            </w:r>
            <w:proofErr w:type="spellEnd"/>
          </w:p>
          <w:p w14:paraId="576AF7E7"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LEVETIRACETAM</w:t>
            </w:r>
          </w:p>
          <w:p w14:paraId="3DB54B09"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METHYLPREDNISOLONE</w:t>
            </w:r>
          </w:p>
          <w:p w14:paraId="6F0C643F"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NICARDIPINE</w:t>
            </w:r>
          </w:p>
          <w:p w14:paraId="496EA5C5"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PANTOPRAZOLE</w:t>
            </w:r>
          </w:p>
        </w:tc>
        <w:tc>
          <w:tcPr>
            <w:tcW w:w="4677" w:type="dxa"/>
            <w:tcBorders>
              <w:top w:val="single" w:sz="4" w:space="0" w:color="auto"/>
              <w:left w:val="single" w:sz="4" w:space="0" w:color="auto"/>
              <w:bottom w:val="single" w:sz="4" w:space="0" w:color="auto"/>
              <w:right w:val="single" w:sz="4" w:space="0" w:color="auto"/>
            </w:tcBorders>
          </w:tcPr>
          <w:p w14:paraId="34DA4B29" w14:textId="77777777" w:rsidR="00836E5B" w:rsidRPr="00836E5B" w:rsidRDefault="00836E5B" w:rsidP="00836E5B">
            <w:pPr>
              <w:spacing w:after="0" w:line="240" w:lineRule="auto"/>
              <w:rPr>
                <w:rFonts w:ascii="Arial" w:eastAsia="Times New Roman" w:hAnsi="Arial" w:cs="Arial"/>
                <w:sz w:val="20"/>
                <w:lang w:eastAsia="fr-FR"/>
              </w:rPr>
            </w:pPr>
          </w:p>
        </w:tc>
      </w:tr>
    </w:tbl>
    <w:p w14:paraId="60F1822F" w14:textId="77777777" w:rsidR="00836E5B" w:rsidRPr="00836E5B" w:rsidRDefault="00836E5B" w:rsidP="00836E5B">
      <w:pPr>
        <w:spacing w:after="0" w:line="240" w:lineRule="auto"/>
        <w:jc w:val="both"/>
        <w:rPr>
          <w:rFonts w:ascii="Arial" w:eastAsia="Times New Roman" w:hAnsi="Arial" w:cs="Arial"/>
          <w:sz w:val="20"/>
          <w:lang w:eastAsia="fr-FR"/>
        </w:rPr>
      </w:pPr>
    </w:p>
    <w:p w14:paraId="2C1C1F70" w14:textId="77777777" w:rsidR="00836E5B" w:rsidRPr="00836E5B" w:rsidRDefault="00836E5B" w:rsidP="00836E5B">
      <w:pPr>
        <w:spacing w:after="0" w:line="240" w:lineRule="auto"/>
        <w:jc w:val="both"/>
        <w:rPr>
          <w:rFonts w:ascii="Arial" w:eastAsia="Times New Roman" w:hAnsi="Arial" w:cs="Arial"/>
          <w:sz w:val="20"/>
          <w:lang w:eastAsia="fr-FR"/>
        </w:rPr>
      </w:pPr>
    </w:p>
    <w:p w14:paraId="4DEEE7C6" w14:textId="77777777" w:rsidR="00836E5B" w:rsidRPr="00836E5B" w:rsidRDefault="00836E5B" w:rsidP="00836E5B">
      <w:pPr>
        <w:spacing w:after="0" w:line="240" w:lineRule="auto"/>
        <w:jc w:val="both"/>
        <w:rPr>
          <w:rFonts w:ascii="Arial" w:eastAsia="Times New Roman" w:hAnsi="Arial" w:cs="Arial"/>
          <w:b/>
          <w:sz w:val="20"/>
          <w:u w:val="single"/>
          <w:lang w:eastAsia="fr-FR"/>
        </w:rPr>
      </w:pPr>
      <w:r w:rsidRPr="00836E5B">
        <w:rPr>
          <w:rFonts w:ascii="Arial" w:eastAsia="Times New Roman" w:hAnsi="Arial" w:cs="Arial"/>
          <w:b/>
          <w:sz w:val="20"/>
          <w:u w:val="single"/>
          <w:lang w:eastAsia="fr-FR"/>
        </w:rPr>
        <w:t>SUITES A DONNER :</w:t>
      </w:r>
    </w:p>
    <w:p w14:paraId="613E79D5" w14:textId="77777777" w:rsidR="00836E5B" w:rsidRPr="00836E5B" w:rsidRDefault="00836E5B" w:rsidP="00836E5B">
      <w:pPr>
        <w:spacing w:after="0" w:line="240" w:lineRule="auto"/>
        <w:jc w:val="both"/>
        <w:rPr>
          <w:rFonts w:ascii="Arial" w:eastAsia="Times New Roman" w:hAnsi="Arial" w:cs="Arial"/>
          <w:sz w:val="20"/>
          <w:lang w:eastAsia="fr-FR"/>
        </w:rPr>
      </w:pPr>
      <w:r w:rsidRPr="00836E5B">
        <w:rPr>
          <w:rFonts w:ascii="Arial" w:eastAsia="Times New Roman" w:hAnsi="Arial" w:cs="Arial"/>
          <w:sz w:val="20"/>
          <w:lang w:eastAsia="fr-FR"/>
        </w:rPr>
        <w:t>Transfert en neurochirurgie pour poursuite de la prise en charge ; fils et patiente informés de la gravité du tableau.</w:t>
      </w:r>
    </w:p>
    <w:p w14:paraId="34D4D797" w14:textId="77777777" w:rsidR="00A91A8C" w:rsidRPr="006C4435" w:rsidRDefault="00A91A8C" w:rsidP="006C4435"/>
    <w:sectPr w:rsidR="00A91A8C" w:rsidRPr="006C443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24554" w14:textId="77777777" w:rsidR="000A35C2" w:rsidRDefault="000A35C2" w:rsidP="00C35B2B">
      <w:pPr>
        <w:spacing w:after="0" w:line="240" w:lineRule="auto"/>
      </w:pPr>
      <w:r>
        <w:separator/>
      </w:r>
    </w:p>
  </w:endnote>
  <w:endnote w:type="continuationSeparator" w:id="0">
    <w:p w14:paraId="587C489B" w14:textId="77777777" w:rsidR="000A35C2" w:rsidRDefault="000A35C2"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0B1EC" w14:textId="77777777" w:rsidR="002A6A11" w:rsidRDefault="002A6A1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0BA65" w14:textId="77777777" w:rsidR="002A6A11" w:rsidRDefault="002A6A1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8999A" w14:textId="77777777" w:rsidR="002A6A11" w:rsidRDefault="002A6A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48369" w14:textId="77777777" w:rsidR="000A35C2" w:rsidRDefault="000A35C2" w:rsidP="00C35B2B">
      <w:pPr>
        <w:spacing w:after="0" w:line="240" w:lineRule="auto"/>
      </w:pPr>
      <w:r>
        <w:separator/>
      </w:r>
    </w:p>
  </w:footnote>
  <w:footnote w:type="continuationSeparator" w:id="0">
    <w:p w14:paraId="414088D4" w14:textId="77777777" w:rsidR="000A35C2" w:rsidRDefault="000A35C2"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9696" w14:textId="77777777" w:rsidR="002A6A11" w:rsidRDefault="002A6A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76"/>
      <w:gridCol w:w="5529"/>
      <w:gridCol w:w="1307"/>
    </w:tblGrid>
    <w:tr w:rsidR="00C35B2B" w14:paraId="640917F2"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34474DA2" w14:textId="0917BE88"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2E7A066F" w14:textId="77777777" w:rsidR="00C35B2B" w:rsidRPr="00C35B2B" w:rsidRDefault="00C35B2B" w:rsidP="00C35B2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2A6A11">
            <w:rPr>
              <w:b/>
            </w:rPr>
            <w:t>21-2022</w:t>
          </w:r>
        </w:p>
      </w:tc>
      <w:tc>
        <w:tcPr>
          <w:tcW w:w="1307" w:type="dxa"/>
          <w:tcBorders>
            <w:top w:val="none" w:sz="0" w:space="0" w:color="auto"/>
            <w:left w:val="none" w:sz="0" w:space="0" w:color="auto"/>
            <w:bottom w:val="none" w:sz="0" w:space="0" w:color="auto"/>
            <w:right w:val="none" w:sz="0" w:space="0" w:color="auto"/>
          </w:tcBorders>
        </w:tcPr>
        <w:p w14:paraId="1A55AE36" w14:textId="77777777" w:rsidR="00C35B2B" w:rsidRPr="00B8227E" w:rsidRDefault="006C4435"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FP - NB</w:t>
          </w:r>
        </w:p>
      </w:tc>
    </w:tr>
    <w:tr w:rsidR="00C35B2B" w14:paraId="3FBF72D6"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4BE87FF2"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3181495F"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47E88EEA" w14:textId="77777777" w:rsidR="007A3296" w:rsidRDefault="00C85F30" w:rsidP="007C31B9">
          <w:pPr>
            <w:pStyle w:val="En-tte"/>
            <w:cnfStyle w:val="000000100000" w:firstRow="0" w:lastRow="0" w:firstColumn="0" w:lastColumn="0" w:oddVBand="0" w:evenVBand="0" w:oddHBand="1" w:evenHBand="0" w:firstRowFirstColumn="0" w:firstRowLastColumn="0" w:lastRowFirstColumn="0" w:lastRowLastColumn="0"/>
          </w:pPr>
          <w:r>
            <w:rPr>
              <w:b/>
              <w:color w:val="FF0000"/>
            </w:rPr>
            <w:t>NEURO</w:t>
          </w:r>
          <w:r w:rsidR="00917D7E">
            <w:rPr>
              <w:b/>
              <w:color w:val="FF0000"/>
            </w:rPr>
            <w:t>2</w:t>
          </w:r>
        </w:p>
      </w:tc>
    </w:tr>
  </w:tbl>
  <w:p w14:paraId="2EA54EB0"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56597" w14:textId="77777777" w:rsidR="002A6A11" w:rsidRDefault="002A6A1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105670EC"/>
    <w:multiLevelType w:val="hybridMultilevel"/>
    <w:tmpl w:val="97DE95A6"/>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8162184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555936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23159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038338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110018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B2B"/>
    <w:rsid w:val="00003F63"/>
    <w:rsid w:val="000A35C2"/>
    <w:rsid w:val="000A4F08"/>
    <w:rsid w:val="000B57F9"/>
    <w:rsid w:val="00162346"/>
    <w:rsid w:val="001C3326"/>
    <w:rsid w:val="00204AF9"/>
    <w:rsid w:val="0024011D"/>
    <w:rsid w:val="00247C36"/>
    <w:rsid w:val="002860FE"/>
    <w:rsid w:val="002913B0"/>
    <w:rsid w:val="002A6A11"/>
    <w:rsid w:val="00415BC8"/>
    <w:rsid w:val="004564D3"/>
    <w:rsid w:val="005076D4"/>
    <w:rsid w:val="00546A2B"/>
    <w:rsid w:val="005D3FFE"/>
    <w:rsid w:val="005F0A39"/>
    <w:rsid w:val="005F257E"/>
    <w:rsid w:val="00601522"/>
    <w:rsid w:val="006C4435"/>
    <w:rsid w:val="006D543B"/>
    <w:rsid w:val="00702C19"/>
    <w:rsid w:val="00736633"/>
    <w:rsid w:val="007910CB"/>
    <w:rsid w:val="007927EC"/>
    <w:rsid w:val="007A3296"/>
    <w:rsid w:val="007C31B9"/>
    <w:rsid w:val="007D6089"/>
    <w:rsid w:val="007F03DA"/>
    <w:rsid w:val="00836E5B"/>
    <w:rsid w:val="008904CD"/>
    <w:rsid w:val="00911578"/>
    <w:rsid w:val="00917D7E"/>
    <w:rsid w:val="00953A48"/>
    <w:rsid w:val="00A91A8C"/>
    <w:rsid w:val="00B8227E"/>
    <w:rsid w:val="00BA7C0A"/>
    <w:rsid w:val="00C35B2B"/>
    <w:rsid w:val="00C85F30"/>
    <w:rsid w:val="00C93B32"/>
    <w:rsid w:val="00DA2F9B"/>
    <w:rsid w:val="00DB527F"/>
    <w:rsid w:val="00DC2DDC"/>
    <w:rsid w:val="00DE1908"/>
    <w:rsid w:val="00E04E71"/>
    <w:rsid w:val="00E51A72"/>
    <w:rsid w:val="00E55FD5"/>
    <w:rsid w:val="00F02FDC"/>
    <w:rsid w:val="00F66122"/>
    <w:rsid w:val="00FC0302"/>
    <w:rsid w:val="00FC7D82"/>
    <w:rsid w:val="00FD6363"/>
    <w:rsid w:val="00FF09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9EAD7"/>
  <w15:docId w15:val="{0BD8F157-C371-4C81-AC95-60DDA8AA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790175285">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 w:id="1593271297">
      <w:bodyDiv w:val="1"/>
      <w:marLeft w:val="0"/>
      <w:marRight w:val="0"/>
      <w:marTop w:val="0"/>
      <w:marBottom w:val="0"/>
      <w:divBdr>
        <w:top w:val="none" w:sz="0" w:space="0" w:color="auto"/>
        <w:left w:val="none" w:sz="0" w:space="0" w:color="auto"/>
        <w:bottom w:val="none" w:sz="0" w:space="0" w:color="auto"/>
        <w:right w:val="none" w:sz="0" w:space="0" w:color="auto"/>
      </w:divBdr>
    </w:div>
    <w:div w:id="180056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C36BD-6715-4239-8B93-065D34FA0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483</Words>
  <Characters>2659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12</cp:revision>
  <cp:lastPrinted>2015-09-09T16:36:00Z</cp:lastPrinted>
  <dcterms:created xsi:type="dcterms:W3CDTF">2018-08-09T15:04:00Z</dcterms:created>
  <dcterms:modified xsi:type="dcterms:W3CDTF">2024-12-09T16:33:00Z</dcterms:modified>
</cp:coreProperties>
</file>