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25BB1" w14:textId="77777777" w:rsidR="00A0684F" w:rsidRPr="00AC1820" w:rsidRDefault="00A0684F" w:rsidP="00A0684F">
      <w:pPr>
        <w:tabs>
          <w:tab w:val="left" w:pos="3119"/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 xml:space="preserve">Madame  </w:t>
      </w:r>
      <w:r w:rsidRPr="00AC1820">
        <w:rPr>
          <w:rFonts w:ascii="Arial" w:eastAsia="Times New Roman" w:hAnsi="Arial" w:cs="Arial"/>
          <w:lang w:eastAsia="fr-FR"/>
        </w:rPr>
        <w:t>1976, hospitalisée du 16/05</w:t>
      </w:r>
      <w:r w:rsidR="00A77429">
        <w:rPr>
          <w:rFonts w:ascii="Arial" w:eastAsia="Times New Roman" w:hAnsi="Arial" w:cs="Arial"/>
          <w:lang w:eastAsia="fr-FR"/>
        </w:rPr>
        <w:t xml:space="preserve"> </w:t>
      </w:r>
      <w:r w:rsidRPr="00AC1820">
        <w:rPr>
          <w:rFonts w:ascii="Arial" w:eastAsia="Times New Roman" w:hAnsi="Arial" w:cs="Arial"/>
          <w:lang w:eastAsia="fr-FR"/>
        </w:rPr>
        <w:t>au 18/05</w:t>
      </w:r>
      <w:r w:rsidR="00A77429">
        <w:rPr>
          <w:rFonts w:ascii="Arial" w:eastAsia="Times New Roman" w:hAnsi="Arial" w:cs="Arial"/>
          <w:lang w:eastAsia="fr-FR"/>
        </w:rPr>
        <w:t xml:space="preserve"> </w:t>
      </w:r>
      <w:r w:rsidRPr="00AC1820">
        <w:rPr>
          <w:rFonts w:ascii="Arial" w:eastAsia="Times New Roman" w:hAnsi="Arial" w:cs="Arial"/>
          <w:lang w:eastAsia="fr-FR"/>
        </w:rPr>
        <w:t>dans le Service d’Infectiologie.</w:t>
      </w:r>
    </w:p>
    <w:p w14:paraId="38046374" w14:textId="77777777" w:rsidR="00A0684F" w:rsidRPr="00AC1820" w:rsidRDefault="00A0684F" w:rsidP="00A0684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B681DED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Motif d’Hospitalisation</w:t>
      </w:r>
      <w:r w:rsidRPr="00AC1820">
        <w:rPr>
          <w:rFonts w:ascii="Arial" w:eastAsia="Times New Roman" w:hAnsi="Arial" w:cs="Arial"/>
          <w:lang w:eastAsia="fr-FR"/>
        </w:rPr>
        <w:t> :</w:t>
      </w:r>
    </w:p>
    <w:p w14:paraId="0450DD33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Patiente de 41 ans adressée par les urgences pour infection sur PICC Line à </w:t>
      </w:r>
      <w:r w:rsidRPr="00AC1820">
        <w:rPr>
          <w:rFonts w:ascii="Arial" w:eastAsia="Times New Roman" w:hAnsi="Arial" w:cs="Arial"/>
          <w:i/>
          <w:lang w:eastAsia="fr-FR"/>
        </w:rPr>
        <w:t>Staphylococcus epidermidis</w:t>
      </w:r>
      <w:r w:rsidRPr="00AC1820">
        <w:rPr>
          <w:rFonts w:ascii="Arial" w:eastAsia="Times New Roman" w:hAnsi="Arial" w:cs="Arial"/>
          <w:lang w:eastAsia="fr-FR"/>
        </w:rPr>
        <w:t xml:space="preserve">. </w:t>
      </w:r>
    </w:p>
    <w:p w14:paraId="2D42A7AC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1274986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Antécédents </w:t>
      </w:r>
      <w:r w:rsidRPr="00AC1820">
        <w:rPr>
          <w:rFonts w:ascii="Arial" w:eastAsia="Times New Roman" w:hAnsi="Arial" w:cs="Arial"/>
          <w:lang w:eastAsia="fr-FR"/>
        </w:rPr>
        <w:t>:</w:t>
      </w:r>
    </w:p>
    <w:p w14:paraId="0B3C83EE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Sleeve gastrectomie </w:t>
      </w:r>
      <w:r w:rsidR="00A77429">
        <w:rPr>
          <w:rFonts w:ascii="Arial" w:eastAsia="Times New Roman" w:hAnsi="Arial" w:cs="Arial"/>
          <w:lang w:eastAsia="fr-FR"/>
        </w:rPr>
        <w:t>il y a 5 ans</w:t>
      </w:r>
      <w:r w:rsidRPr="00AC1820">
        <w:rPr>
          <w:rFonts w:ascii="Arial" w:eastAsia="Times New Roman" w:hAnsi="Arial" w:cs="Arial"/>
          <w:lang w:eastAsia="fr-FR"/>
        </w:rPr>
        <w:t xml:space="preserve"> convertie en By </w:t>
      </w:r>
      <w:proofErr w:type="spellStart"/>
      <w:r w:rsidRPr="00AC1820">
        <w:rPr>
          <w:rFonts w:ascii="Arial" w:eastAsia="Times New Roman" w:hAnsi="Arial" w:cs="Arial"/>
          <w:lang w:eastAsia="fr-FR"/>
        </w:rPr>
        <w:t>Pass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 pa</w:t>
      </w:r>
      <w:r>
        <w:rPr>
          <w:rFonts w:ascii="Arial" w:eastAsia="Times New Roman" w:hAnsi="Arial" w:cs="Arial"/>
          <w:lang w:eastAsia="fr-FR"/>
        </w:rPr>
        <w:t>r</w:t>
      </w:r>
      <w:r w:rsidRPr="00AC1820">
        <w:rPr>
          <w:rFonts w:ascii="Arial" w:eastAsia="Times New Roman" w:hAnsi="Arial" w:cs="Arial"/>
          <w:lang w:eastAsia="fr-FR"/>
        </w:rPr>
        <w:t xml:space="preserve"> le Dr </w:t>
      </w:r>
      <w:proofErr w:type="spellStart"/>
      <w:r>
        <w:rPr>
          <w:rFonts w:ascii="Arial" w:eastAsia="Times New Roman" w:hAnsi="Arial" w:cs="Arial"/>
          <w:lang w:eastAsia="fr-FR"/>
        </w:rPr>
        <w:t>zz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 dans le cadre d’une œsophagite post chirurgie bariatrique. </w:t>
      </w:r>
    </w:p>
    <w:p w14:paraId="2B9E0AD1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Cholécystectomie.</w:t>
      </w:r>
    </w:p>
    <w:p w14:paraId="6911C71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Amygdalectomie.</w:t>
      </w:r>
    </w:p>
    <w:p w14:paraId="6A0FD56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Tabagisme sevré depuis 15 ans. </w:t>
      </w:r>
    </w:p>
    <w:p w14:paraId="7C79FF7E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 </w:t>
      </w:r>
    </w:p>
    <w:p w14:paraId="6F4B7E61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Comorbidités</w:t>
      </w:r>
      <w:r w:rsidRPr="00AC1820">
        <w:rPr>
          <w:rFonts w:ascii="Arial" w:eastAsia="Times New Roman" w:hAnsi="Arial" w:cs="Arial"/>
          <w:lang w:eastAsia="fr-FR"/>
        </w:rPr>
        <w:t> :</w:t>
      </w:r>
    </w:p>
    <w:p w14:paraId="3E3C47F3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Migraine suivie par le Dr </w:t>
      </w:r>
      <w:proofErr w:type="spellStart"/>
      <w:r>
        <w:rPr>
          <w:rFonts w:ascii="Arial" w:eastAsia="Times New Roman" w:hAnsi="Arial" w:cs="Arial"/>
          <w:lang w:eastAsia="fr-FR"/>
        </w:rPr>
        <w:t>vvv</w:t>
      </w:r>
      <w:proofErr w:type="spellEnd"/>
    </w:p>
    <w:p w14:paraId="29A100BB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Asthme allergique suivi par le Dr </w:t>
      </w:r>
      <w:proofErr w:type="spellStart"/>
      <w:r>
        <w:rPr>
          <w:rFonts w:ascii="Arial" w:eastAsia="Times New Roman" w:hAnsi="Arial" w:cs="Arial"/>
          <w:lang w:eastAsia="fr-FR"/>
        </w:rPr>
        <w:t>mmmm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. </w:t>
      </w:r>
    </w:p>
    <w:p w14:paraId="20A5DC67" w14:textId="77777777" w:rsidR="00A0684F" w:rsidRPr="00AC1820" w:rsidRDefault="00A0684F" w:rsidP="00A068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lang w:eastAsia="fr-FR"/>
        </w:rPr>
      </w:pPr>
      <w:r w:rsidRPr="00AC1820">
        <w:rPr>
          <w:rFonts w:ascii="Arial" w:eastAsia="Times New Roman" w:hAnsi="Arial" w:cs="Arial"/>
          <w:bCs/>
          <w:color w:val="000000"/>
          <w:lang w:eastAsia="fr-FR"/>
        </w:rPr>
        <w:t xml:space="preserve">Allergie aux acariens et à la poussière. </w:t>
      </w:r>
    </w:p>
    <w:p w14:paraId="1605266D" w14:textId="77777777" w:rsidR="00A0684F" w:rsidRPr="00AC1820" w:rsidRDefault="00A0684F" w:rsidP="00A068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lang w:eastAsia="fr-FR"/>
        </w:rPr>
      </w:pPr>
      <w:r w:rsidRPr="00AC1820">
        <w:rPr>
          <w:rFonts w:ascii="Arial" w:eastAsia="Times New Roman" w:hAnsi="Arial" w:cs="Arial"/>
          <w:bCs/>
          <w:color w:val="000000"/>
          <w:lang w:eastAsia="fr-FR"/>
        </w:rPr>
        <w:t xml:space="preserve">Intolérance aux antalgique de Pallier II. </w:t>
      </w:r>
    </w:p>
    <w:p w14:paraId="5E9FD041" w14:textId="77777777" w:rsidR="00A0684F" w:rsidRPr="00AC1820" w:rsidRDefault="00A0684F" w:rsidP="00A068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34053158" w14:textId="77777777" w:rsidR="00A0684F" w:rsidRPr="00AC1820" w:rsidRDefault="00A0684F" w:rsidP="00A068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 w:rsidRPr="00AC1820">
        <w:rPr>
          <w:rFonts w:ascii="Arial" w:eastAsia="Times New Roman" w:hAnsi="Arial" w:cs="Arial"/>
          <w:b/>
          <w:bCs/>
          <w:color w:val="000000"/>
          <w:lang w:eastAsia="fr-FR"/>
        </w:rPr>
        <w:t xml:space="preserve">Mode de vie: </w:t>
      </w:r>
      <w:r w:rsidRPr="00AC1820">
        <w:rPr>
          <w:rFonts w:ascii="Arial" w:eastAsia="Times New Roman" w:hAnsi="Arial" w:cs="Arial"/>
          <w:bCs/>
          <w:color w:val="000000"/>
          <w:lang w:eastAsia="fr-FR"/>
        </w:rPr>
        <w:t>Vit avec ses 6 enfants. Divorcée.</w:t>
      </w:r>
      <w:r w:rsidRPr="00AC1820">
        <w:rPr>
          <w:rFonts w:ascii="Arial" w:eastAsia="Times New Roman" w:hAnsi="Arial" w:cs="Arial"/>
          <w:b/>
          <w:bCs/>
          <w:color w:val="000000"/>
          <w:lang w:eastAsia="fr-FR"/>
        </w:rPr>
        <w:t xml:space="preserve"> </w:t>
      </w:r>
    </w:p>
    <w:p w14:paraId="4642CDBE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0BDBC486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Histoire de la maladie</w:t>
      </w:r>
      <w:r w:rsidRPr="00AC1820">
        <w:rPr>
          <w:rFonts w:ascii="Arial" w:eastAsia="Times New Roman" w:hAnsi="Arial" w:cs="Arial"/>
          <w:lang w:eastAsia="fr-FR"/>
        </w:rPr>
        <w:t> :</w:t>
      </w:r>
    </w:p>
    <w:p w14:paraId="090EFBA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Après sa chirurgie de By </w:t>
      </w:r>
      <w:proofErr w:type="spellStart"/>
      <w:r w:rsidRPr="00AC1820">
        <w:rPr>
          <w:rFonts w:ascii="Arial" w:eastAsia="Times New Roman" w:hAnsi="Arial" w:cs="Arial"/>
          <w:lang w:eastAsia="fr-FR"/>
        </w:rPr>
        <w:t>Pass</w:t>
      </w:r>
      <w:proofErr w:type="spellEnd"/>
      <w:r w:rsidRPr="00AC1820">
        <w:rPr>
          <w:rFonts w:ascii="Arial" w:eastAsia="Times New Roman" w:hAnsi="Arial" w:cs="Arial"/>
          <w:lang w:eastAsia="fr-FR"/>
        </w:rPr>
        <w:t>, fin Mars, la patiente se plaint de</w:t>
      </w:r>
      <w:r>
        <w:rPr>
          <w:rFonts w:ascii="Arial" w:eastAsia="Times New Roman" w:hAnsi="Arial" w:cs="Arial"/>
          <w:lang w:eastAsia="fr-FR"/>
        </w:rPr>
        <w:t xml:space="preserve"> ne</w:t>
      </w:r>
      <w:r w:rsidRPr="00AC1820">
        <w:rPr>
          <w:rFonts w:ascii="Arial" w:eastAsia="Times New Roman" w:hAnsi="Arial" w:cs="Arial"/>
          <w:lang w:eastAsia="fr-FR"/>
        </w:rPr>
        <w:t xml:space="preserve"> pas arriver à s’alimenter et devant un risque de dénutrition, une nutrition parentérale sur PICC Line est initiée. </w:t>
      </w:r>
    </w:p>
    <w:p w14:paraId="1ED83D1C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A domicile, elle ne respecte pas les règles d’hygiène (désadapte le PICC Line, change la tubulure sans avis de l’IDE).</w:t>
      </w:r>
    </w:p>
    <w:p w14:paraId="68AD2B0B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11/05, après avoir rincé</w:t>
      </w:r>
      <w:r w:rsidRPr="00AC1820">
        <w:rPr>
          <w:rFonts w:ascii="Arial" w:eastAsia="Times New Roman" w:hAnsi="Arial" w:cs="Arial"/>
          <w:lang w:eastAsia="fr-FR"/>
        </w:rPr>
        <w:t xml:space="preserve"> le PICC Line, elle présente une douleur thoracique avec hyperthermie </w:t>
      </w:r>
      <w:r w:rsidR="00AB00E6">
        <w:rPr>
          <w:rFonts w:ascii="Arial" w:eastAsia="Times New Roman" w:hAnsi="Arial" w:cs="Arial"/>
          <w:lang w:eastAsia="fr-FR"/>
        </w:rPr>
        <w:t xml:space="preserve">à 39, </w:t>
      </w:r>
      <w:r w:rsidRPr="00AC1820">
        <w:rPr>
          <w:rFonts w:ascii="Arial" w:eastAsia="Times New Roman" w:hAnsi="Arial" w:cs="Arial"/>
          <w:lang w:eastAsia="fr-FR"/>
        </w:rPr>
        <w:t>motivant une consultation aux urgences.</w:t>
      </w:r>
    </w:p>
    <w:p w14:paraId="565936F6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Au SAU, des hémocultures sont réalisées sur PICC Line et VVP revenant positives à </w:t>
      </w:r>
      <w:r w:rsidRPr="00AC1820">
        <w:rPr>
          <w:rFonts w:ascii="Arial" w:eastAsia="Times New Roman" w:hAnsi="Arial" w:cs="Arial"/>
          <w:i/>
          <w:lang w:eastAsia="fr-FR"/>
        </w:rPr>
        <w:t>Staphylococcus epidermidis</w:t>
      </w:r>
      <w:r w:rsidRPr="00AC1820">
        <w:rPr>
          <w:rFonts w:ascii="Arial" w:eastAsia="Times New Roman" w:hAnsi="Arial" w:cs="Arial"/>
          <w:lang w:eastAsia="fr-FR"/>
        </w:rPr>
        <w:t xml:space="preserve"> METI-R ; </w:t>
      </w:r>
    </w:p>
    <w:p w14:paraId="379E5FC6" w14:textId="77777777" w:rsidR="00C90FEA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La patiente est transférée à l’UCSU où l’avis infectiologique préconise </w:t>
      </w:r>
      <w:r>
        <w:rPr>
          <w:rFonts w:ascii="Arial" w:eastAsia="Times New Roman" w:hAnsi="Arial" w:cs="Arial"/>
          <w:lang w:eastAsia="fr-FR"/>
        </w:rPr>
        <w:t>le retrait du PICC Line (envoyé</w:t>
      </w:r>
      <w:r w:rsidRPr="00AC1820">
        <w:rPr>
          <w:rFonts w:ascii="Arial" w:eastAsia="Times New Roman" w:hAnsi="Arial" w:cs="Arial"/>
          <w:lang w:eastAsia="fr-FR"/>
        </w:rPr>
        <w:t xml:space="preserve"> en culture), répétition des hémocultures jusqu’à négativation, mise en place de DAPTOMYCINE 850 mg puis relais par TAVANIC 500 mg x2 + RIFAMPICINE. </w:t>
      </w:r>
    </w:p>
    <w:p w14:paraId="51CCF1B1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L’écho-doppler veineux du membre supérieur droit met en évidence une thrombose incomplète non obstructive d’une veine humérale de 2 mm X 2 cm sans extension axillaire ou sous cutanée. </w:t>
      </w:r>
    </w:p>
    <w:p w14:paraId="3E60E71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La patiente est ensuite adressée en infectiologie pour suite de la prise en charge. </w:t>
      </w:r>
    </w:p>
    <w:p w14:paraId="268D7A3A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C96D100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0DC9CE1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 xml:space="preserve">Examens </w:t>
      </w:r>
      <w:bookmarkStart w:id="0" w:name="ListeDéroulante4"/>
      <w:bookmarkEnd w:id="0"/>
      <w:r w:rsidRPr="00AC1820">
        <w:rPr>
          <w:rFonts w:ascii="Arial" w:eastAsia="Times New Roman" w:hAnsi="Arial" w:cs="Arial"/>
          <w:lang w:eastAsia="fr-FR"/>
        </w:rPr>
        <w:t> :</w:t>
      </w:r>
    </w:p>
    <w:p w14:paraId="0A7B4034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Bilan biologique</w:t>
      </w:r>
      <w:r w:rsidRPr="00AC1820">
        <w:rPr>
          <w:rFonts w:ascii="Arial" w:eastAsia="Times New Roman" w:hAnsi="Arial" w:cs="Arial"/>
          <w:lang w:eastAsia="fr-FR"/>
        </w:rPr>
        <w:t xml:space="preserve"> : </w:t>
      </w:r>
    </w:p>
    <w:p w14:paraId="355AC3E9" w14:textId="77777777" w:rsidR="00A0684F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CRP à 13.5 mg/l.</w:t>
      </w:r>
    </w:p>
    <w:p w14:paraId="761AA43F" w14:textId="77777777" w:rsidR="00AB00E6" w:rsidRPr="00AC1820" w:rsidRDefault="00AB00E6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GB 12000</w:t>
      </w:r>
    </w:p>
    <w:p w14:paraId="771C0696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Ionogramme, fonction rénale et bilan hépatocellulaire sans particularité.</w:t>
      </w:r>
    </w:p>
    <w:p w14:paraId="09359285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42ACB0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Bilan microbiologique </w:t>
      </w:r>
      <w:r w:rsidRPr="00AC1820">
        <w:rPr>
          <w:rFonts w:ascii="Arial" w:eastAsia="Times New Roman" w:hAnsi="Arial" w:cs="Arial"/>
          <w:lang w:eastAsia="fr-FR"/>
        </w:rPr>
        <w:t xml:space="preserve">: </w:t>
      </w:r>
    </w:p>
    <w:p w14:paraId="03E7DADF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Hémocultures sur PICC Line positives à </w:t>
      </w:r>
      <w:r w:rsidRPr="00AC1820">
        <w:rPr>
          <w:rFonts w:ascii="Arial" w:eastAsia="Times New Roman" w:hAnsi="Arial" w:cs="Arial"/>
          <w:i/>
          <w:lang w:eastAsia="fr-FR"/>
        </w:rPr>
        <w:t xml:space="preserve">Staphylococcus epidermidis </w:t>
      </w:r>
      <w:r w:rsidRPr="00AC1820">
        <w:rPr>
          <w:rFonts w:ascii="Arial" w:eastAsia="Times New Roman" w:hAnsi="Arial" w:cs="Arial"/>
          <w:lang w:eastAsia="fr-FR"/>
        </w:rPr>
        <w:t>METI-R en 9h.</w:t>
      </w:r>
    </w:p>
    <w:p w14:paraId="70C444F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Hémocultures sur VVP positives à </w:t>
      </w:r>
      <w:r w:rsidRPr="00AC1820">
        <w:rPr>
          <w:rFonts w:ascii="Arial" w:eastAsia="Times New Roman" w:hAnsi="Arial" w:cs="Arial"/>
          <w:i/>
          <w:lang w:eastAsia="fr-FR"/>
        </w:rPr>
        <w:t xml:space="preserve">Staphylococcus epidermidis </w:t>
      </w:r>
      <w:r w:rsidRPr="00AC1820">
        <w:rPr>
          <w:rFonts w:ascii="Arial" w:eastAsia="Times New Roman" w:hAnsi="Arial" w:cs="Arial"/>
          <w:lang w:eastAsia="fr-FR"/>
        </w:rPr>
        <w:t>METI-R en 15h.</w:t>
      </w:r>
    </w:p>
    <w:p w14:paraId="3495F100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Hémocultures positives à </w:t>
      </w:r>
      <w:r w:rsidRPr="00AC1820">
        <w:rPr>
          <w:rFonts w:ascii="Arial" w:eastAsia="Times New Roman" w:hAnsi="Arial" w:cs="Arial"/>
          <w:i/>
          <w:lang w:eastAsia="fr-FR"/>
        </w:rPr>
        <w:t>Staphylococcus epidermidis</w:t>
      </w:r>
    </w:p>
    <w:p w14:paraId="774B54DA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14:paraId="200336D1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Iconographie</w:t>
      </w:r>
      <w:r w:rsidRPr="00AC1820">
        <w:rPr>
          <w:rFonts w:ascii="Arial" w:eastAsia="Times New Roman" w:hAnsi="Arial" w:cs="Arial"/>
          <w:lang w:eastAsia="fr-FR"/>
        </w:rPr>
        <w:t xml:space="preserve"> : </w:t>
      </w:r>
    </w:p>
    <w:p w14:paraId="365AC113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lastRenderedPageBreak/>
        <w:t xml:space="preserve">Aucune. </w:t>
      </w:r>
    </w:p>
    <w:p w14:paraId="52ADC4E0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F66B07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 xml:space="preserve">Examens </w:t>
      </w:r>
      <w:r w:rsidRPr="00AC1820">
        <w:rPr>
          <w:rFonts w:ascii="Arial" w:eastAsia="Times New Roman" w:hAnsi="Arial" w:cs="Arial"/>
          <w:lang w:eastAsia="fr-FR"/>
        </w:rPr>
        <w:t> :</w:t>
      </w:r>
    </w:p>
    <w:p w14:paraId="518BF4E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Culture du PICC Line. </w:t>
      </w:r>
    </w:p>
    <w:p w14:paraId="013F4CEA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4765E4F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Evolution :</w:t>
      </w:r>
    </w:p>
    <w:p w14:paraId="7C0CEA7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La patiente ne présente aucune plainte fonctionnelle. L’auscultation cardiaque note un doute sur un souffle mitrale à 1/6. La patiente a déjà réalisé des ETT ne mettant pas en évidence d’endocardite.</w:t>
      </w:r>
    </w:p>
    <w:p w14:paraId="168BE705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02A742D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L’évolution est surtout marquée par une difficulté alimentaire. La consultation diététicienne propose des compléments alimentaires que la patiente refuse. </w:t>
      </w:r>
    </w:p>
    <w:p w14:paraId="47B78F2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La patiente semble présenter un problème avec l’alimentation depuis l’enfance. Nous proposons à multiples reprises un suivi psychologique ou psychiatrique, qu’elle refuse. </w:t>
      </w:r>
    </w:p>
    <w:p w14:paraId="67FBBCD5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F882646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Avis du </w:t>
      </w:r>
      <w:r>
        <w:rPr>
          <w:rFonts w:ascii="Arial" w:eastAsia="Times New Roman" w:hAnsi="Arial" w:cs="Arial"/>
          <w:lang w:eastAsia="fr-FR"/>
        </w:rPr>
        <w:t>médecin</w:t>
      </w:r>
      <w:r w:rsidRPr="00AC1820">
        <w:rPr>
          <w:rFonts w:ascii="Arial" w:eastAsia="Times New Roman" w:hAnsi="Arial" w:cs="Arial"/>
          <w:lang w:eastAsia="fr-FR"/>
        </w:rPr>
        <w:t xml:space="preserve"> radiologue : pas d’indication à mettre en place une anticoagulation chez la patiente</w:t>
      </w:r>
    </w:p>
    <w:p w14:paraId="65311EAC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872A51F" w14:textId="77777777" w:rsidR="00A0684F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La patiente est sortante ce jour pour un retour au domicile. </w:t>
      </w:r>
    </w:p>
    <w:p w14:paraId="51355AAC" w14:textId="77777777" w:rsidR="00A77429" w:rsidRDefault="00A77429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6E44C1C" w14:textId="77777777" w:rsidR="00A77429" w:rsidRDefault="00A77429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77429">
        <w:rPr>
          <w:rFonts w:ascii="Arial" w:eastAsia="Times New Roman" w:hAnsi="Arial" w:cs="Arial"/>
          <w:b/>
          <w:lang w:eastAsia="fr-FR"/>
        </w:rPr>
        <w:t>CONCLUSION </w:t>
      </w:r>
      <w:r>
        <w:rPr>
          <w:rFonts w:ascii="Arial" w:eastAsia="Times New Roman" w:hAnsi="Arial" w:cs="Arial"/>
          <w:lang w:eastAsia="fr-FR"/>
        </w:rPr>
        <w:t>:</w:t>
      </w:r>
    </w:p>
    <w:p w14:paraId="7F48768E" w14:textId="77777777" w:rsidR="00A77429" w:rsidRDefault="00A77429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F9221F" w14:textId="77777777" w:rsidR="00A77429" w:rsidRPr="00A77429" w:rsidRDefault="00A77429" w:rsidP="00A77429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77429">
        <w:rPr>
          <w:rFonts w:ascii="Arial" w:eastAsia="Times New Roman" w:hAnsi="Arial" w:cs="Arial"/>
          <w:lang w:eastAsia="fr-FR"/>
        </w:rPr>
        <w:t>Bactériémie sur PICC Line à Staphylococcus epidermidis METI-R compliquée d’une thrombose veineuse humérale ne nécessitant pas d’anticoagulation.</w:t>
      </w:r>
    </w:p>
    <w:p w14:paraId="059EAE8C" w14:textId="77777777" w:rsidR="00A77429" w:rsidRPr="00A77429" w:rsidRDefault="00A77429" w:rsidP="00A77429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39AD593" w14:textId="77777777" w:rsidR="00A77429" w:rsidRPr="00AC1820" w:rsidRDefault="00A77429" w:rsidP="00A77429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77429">
        <w:rPr>
          <w:rFonts w:ascii="Arial" w:eastAsia="Times New Roman" w:hAnsi="Arial" w:cs="Arial"/>
          <w:lang w:eastAsia="fr-FR"/>
        </w:rPr>
        <w:t>Malnutrition post chirurgie bariatrique.</w:t>
      </w:r>
    </w:p>
    <w:p w14:paraId="56004264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2FFD5EF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Vaccinations :</w:t>
      </w:r>
    </w:p>
    <w:p w14:paraId="0BBF2957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ROR à jour.</w:t>
      </w:r>
    </w:p>
    <w:p w14:paraId="3FA1973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Varicelle à jour.</w:t>
      </w:r>
    </w:p>
    <w:p w14:paraId="3533040E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AC1820">
        <w:rPr>
          <w:rFonts w:ascii="Arial" w:eastAsia="Times New Roman" w:hAnsi="Arial" w:cs="Arial"/>
          <w:lang w:eastAsia="fr-FR"/>
        </w:rPr>
        <w:t>dTP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 non à jour, BOOSTRIX réalisé au cours de l’hospitalisation.</w:t>
      </w:r>
    </w:p>
    <w:p w14:paraId="012F563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spellStart"/>
      <w:r w:rsidRPr="00AC1820">
        <w:rPr>
          <w:rFonts w:ascii="Arial" w:eastAsia="Times New Roman" w:hAnsi="Arial" w:cs="Arial"/>
          <w:lang w:eastAsia="fr-FR"/>
        </w:rPr>
        <w:t>Anti-pneumococcique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 non à jour, PREVENAR 13 réalisé dans le service, PNEUMOVAX à réaliser dans 2 mois.</w:t>
      </w:r>
    </w:p>
    <w:p w14:paraId="100B609D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F861857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Evénements intercurrents / Effets secondaires médicamenteux :</w:t>
      </w:r>
    </w:p>
    <w:p w14:paraId="76609483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Aucun.</w:t>
      </w:r>
    </w:p>
    <w:p w14:paraId="722E520C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60E808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Traitement de sortie</w:t>
      </w:r>
      <w:r w:rsidRPr="00AC1820">
        <w:rPr>
          <w:rFonts w:ascii="Arial" w:eastAsia="Times New Roman" w:hAnsi="Arial" w:cs="Arial"/>
          <w:lang w:eastAsia="fr-FR"/>
        </w:rPr>
        <w:t> :</w:t>
      </w:r>
    </w:p>
    <w:p w14:paraId="2565CA15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Pathologie en cours</w:t>
      </w:r>
      <w:r w:rsidRPr="00AC1820">
        <w:rPr>
          <w:rFonts w:ascii="Arial" w:eastAsia="Times New Roman" w:hAnsi="Arial" w:cs="Arial"/>
          <w:lang w:eastAsia="fr-FR"/>
        </w:rPr>
        <w:t xml:space="preserve"> : ordonnance non remise </w:t>
      </w:r>
    </w:p>
    <w:p w14:paraId="4D065807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INEXIUM 40 mg 1 </w:t>
      </w:r>
      <w:proofErr w:type="spellStart"/>
      <w:r w:rsidRPr="00AC1820">
        <w:rPr>
          <w:rFonts w:ascii="Arial" w:eastAsia="Times New Roman" w:hAnsi="Arial" w:cs="Arial"/>
          <w:lang w:eastAsia="fr-FR"/>
        </w:rPr>
        <w:t>cp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 par jour </w:t>
      </w:r>
    </w:p>
    <w:p w14:paraId="076BDA90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FAC8DDE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En rapport avec l’hospitalisation </w:t>
      </w:r>
      <w:r w:rsidRPr="00AC1820">
        <w:rPr>
          <w:rFonts w:ascii="Arial" w:eastAsia="Times New Roman" w:hAnsi="Arial" w:cs="Arial"/>
          <w:lang w:eastAsia="fr-FR"/>
        </w:rPr>
        <w:t xml:space="preserve">: </w:t>
      </w:r>
    </w:p>
    <w:p w14:paraId="29CB6966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TAVANIC 500 mg x2 par jour jusqu’au 30 Mai </w:t>
      </w:r>
    </w:p>
    <w:p w14:paraId="7B97292B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CLINDAMYCINE 300 mg 2 </w:t>
      </w:r>
      <w:proofErr w:type="spellStart"/>
      <w:r w:rsidRPr="00AC1820">
        <w:rPr>
          <w:rFonts w:ascii="Arial" w:eastAsia="Times New Roman" w:hAnsi="Arial" w:cs="Arial"/>
          <w:lang w:eastAsia="fr-FR"/>
        </w:rPr>
        <w:t>cp</w:t>
      </w:r>
      <w:proofErr w:type="spellEnd"/>
      <w:r w:rsidRPr="00AC1820">
        <w:rPr>
          <w:rFonts w:ascii="Arial" w:eastAsia="Times New Roman" w:hAnsi="Arial" w:cs="Arial"/>
          <w:lang w:eastAsia="fr-FR"/>
        </w:rPr>
        <w:t xml:space="preserve"> x 3/jour jusqu’au 30 Mai</w:t>
      </w:r>
    </w:p>
    <w:p w14:paraId="711362E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FC5798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b/>
          <w:lang w:eastAsia="fr-FR"/>
        </w:rPr>
        <w:t>Suivi </w:t>
      </w:r>
      <w:r w:rsidRPr="00AC1820">
        <w:rPr>
          <w:rFonts w:ascii="Arial" w:eastAsia="Times New Roman" w:hAnsi="Arial" w:cs="Arial"/>
          <w:lang w:eastAsia="fr-FR"/>
        </w:rPr>
        <w:t>:</w:t>
      </w:r>
      <w:r w:rsidRPr="00AC1820">
        <w:rPr>
          <w:rFonts w:ascii="Arial" w:eastAsia="Times New Roman" w:hAnsi="Arial" w:cs="Arial"/>
          <w:lang w:eastAsia="fr-FR"/>
        </w:rPr>
        <w:tab/>
      </w:r>
    </w:p>
    <w:p w14:paraId="25D31804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Hospitalier</w:t>
      </w:r>
      <w:r w:rsidRPr="00AC1820">
        <w:rPr>
          <w:rFonts w:ascii="Arial" w:eastAsia="Times New Roman" w:hAnsi="Arial" w:cs="Arial"/>
          <w:lang w:eastAsia="fr-FR"/>
        </w:rPr>
        <w:t xml:space="preserve"> : </w:t>
      </w:r>
    </w:p>
    <w:p w14:paraId="2E4D163D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Aucun programmé.</w:t>
      </w:r>
    </w:p>
    <w:p w14:paraId="5E5AF242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20CAE7C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Par vos soins</w:t>
      </w:r>
      <w:r w:rsidRPr="00AC1820">
        <w:rPr>
          <w:rFonts w:ascii="Arial" w:eastAsia="Times New Roman" w:hAnsi="Arial" w:cs="Arial"/>
          <w:lang w:eastAsia="fr-FR"/>
        </w:rPr>
        <w:t xml:space="preserve"> : </w:t>
      </w:r>
    </w:p>
    <w:p w14:paraId="1B8EA317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Bilan standard + hémocultures à réaliser. </w:t>
      </w:r>
    </w:p>
    <w:p w14:paraId="4A136D3D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6652ACBA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Documents établis à la sortie</w:t>
      </w:r>
      <w:r w:rsidRPr="00AC1820">
        <w:rPr>
          <w:rFonts w:ascii="Arial" w:eastAsia="Times New Roman" w:hAnsi="Arial" w:cs="Arial"/>
          <w:lang w:eastAsia="fr-FR"/>
        </w:rPr>
        <w:t> :</w:t>
      </w:r>
    </w:p>
    <w:p w14:paraId="0CB9472C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 xml:space="preserve">CR d’hospitalisation remis au patient : </w:t>
      </w:r>
      <w:r w:rsidRPr="00AC1820">
        <w:rPr>
          <w:rFonts w:ascii="Arial" w:eastAsia="Times New Roman" w:hAnsi="Arial" w:cs="Arial"/>
          <w:lang w:eastAsia="fr-FR"/>
        </w:rPr>
        <w:tab/>
      </w:r>
      <w:r w:rsidRPr="00AC1820">
        <w:rPr>
          <w:rFonts w:ascii="Arial" w:eastAsia="Times New Roman" w:hAnsi="Arial" w:cs="Arial"/>
          <w:lang w:eastAsia="fr-FR"/>
        </w:rPr>
        <w:tab/>
        <w:t>X</w:t>
      </w:r>
    </w:p>
    <w:p w14:paraId="3AEC102B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Ordonnances de traitement :</w:t>
      </w:r>
      <w:r w:rsidRPr="00AC1820">
        <w:rPr>
          <w:rFonts w:ascii="Arial" w:eastAsia="Times New Roman" w:hAnsi="Arial" w:cs="Arial"/>
          <w:lang w:eastAsia="fr-FR"/>
        </w:rPr>
        <w:tab/>
      </w:r>
      <w:r w:rsidRPr="00AC1820">
        <w:rPr>
          <w:rFonts w:ascii="Arial" w:eastAsia="Times New Roman" w:hAnsi="Arial" w:cs="Arial"/>
          <w:lang w:eastAsia="fr-FR"/>
        </w:rPr>
        <w:tab/>
      </w:r>
      <w:r w:rsidRPr="00AC1820">
        <w:rPr>
          <w:rFonts w:ascii="Arial" w:eastAsia="Times New Roman" w:hAnsi="Arial" w:cs="Arial"/>
          <w:lang w:eastAsia="fr-FR"/>
        </w:rPr>
        <w:tab/>
      </w:r>
      <w:r w:rsidRPr="00AC1820">
        <w:rPr>
          <w:rFonts w:ascii="Arial" w:eastAsia="Times New Roman" w:hAnsi="Arial" w:cs="Arial"/>
          <w:lang w:eastAsia="fr-FR"/>
        </w:rPr>
        <w:tab/>
        <w:t>X</w:t>
      </w:r>
    </w:p>
    <w:p w14:paraId="0D350968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AC1820">
        <w:rPr>
          <w:rFonts w:ascii="Arial" w:eastAsia="Times New Roman" w:hAnsi="Arial" w:cs="Arial"/>
          <w:u w:val="single"/>
          <w:lang w:eastAsia="fr-FR"/>
        </w:rPr>
        <w:t>Patient porteur de BMR ou BHRe : NON</w:t>
      </w:r>
    </w:p>
    <w:p w14:paraId="46B68EB5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48D8ADF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515740A" w14:textId="77777777" w:rsidR="00A0684F" w:rsidRPr="00AC1820" w:rsidRDefault="00A0684F" w:rsidP="00A0684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AC1820">
        <w:rPr>
          <w:rFonts w:ascii="Arial" w:eastAsia="Times New Roman" w:hAnsi="Arial" w:cs="Arial"/>
          <w:lang w:eastAsia="fr-FR"/>
        </w:rPr>
        <w:t>Veuillez agréer, Cher Confrère, mes confraternelles salutations.</w:t>
      </w:r>
    </w:p>
    <w:p w14:paraId="4311741B" w14:textId="77777777" w:rsidR="00A0684F" w:rsidRDefault="00A0684F" w:rsidP="00A0684F"/>
    <w:p w14:paraId="0FA00CCC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7DF72" w14:textId="77777777" w:rsidR="00BD30EE" w:rsidRDefault="00BD30EE" w:rsidP="00C35B2B">
      <w:pPr>
        <w:spacing w:after="0" w:line="240" w:lineRule="auto"/>
      </w:pPr>
      <w:r>
        <w:separator/>
      </w:r>
    </w:p>
  </w:endnote>
  <w:endnote w:type="continuationSeparator" w:id="0">
    <w:p w14:paraId="5A27D05C" w14:textId="77777777" w:rsidR="00BD30EE" w:rsidRDefault="00BD30EE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7B766" w14:textId="77777777" w:rsidR="00862029" w:rsidRDefault="008620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4E345" w14:textId="77777777" w:rsidR="00862029" w:rsidRDefault="0086202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1FFF1" w14:textId="77777777" w:rsidR="00862029" w:rsidRDefault="008620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AA7F3" w14:textId="77777777" w:rsidR="00BD30EE" w:rsidRDefault="00BD30EE" w:rsidP="00C35B2B">
      <w:pPr>
        <w:spacing w:after="0" w:line="240" w:lineRule="auto"/>
      </w:pPr>
      <w:r>
        <w:separator/>
      </w:r>
    </w:p>
  </w:footnote>
  <w:footnote w:type="continuationSeparator" w:id="0">
    <w:p w14:paraId="79467587" w14:textId="77777777" w:rsidR="00BD30EE" w:rsidRDefault="00BD30EE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24354" w14:textId="77777777" w:rsidR="00862029" w:rsidRDefault="008620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2"/>
      <w:gridCol w:w="1301"/>
    </w:tblGrid>
    <w:tr w:rsidR="00C35B2B" w14:paraId="2256FD1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BFD6A8" w14:textId="3C4E23A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19ADC1A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E66E60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CFA8898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552788D6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E37765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0C2CA4B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3BD77EC8" w14:textId="77777777" w:rsidR="007A3296" w:rsidRDefault="00812D0C" w:rsidP="00812D0C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</w:t>
          </w:r>
          <w:r w:rsidR="00E552E6">
            <w:rPr>
              <w:b/>
              <w:color w:val="FF0000"/>
            </w:rPr>
            <w:t>nfectio</w:t>
          </w:r>
          <w:r>
            <w:rPr>
              <w:b/>
              <w:color w:val="FF0000"/>
            </w:rPr>
            <w:t>2</w:t>
          </w:r>
        </w:p>
      </w:tc>
    </w:tr>
  </w:tbl>
  <w:p w14:paraId="68B94CD6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845F" w14:textId="77777777" w:rsidR="00862029" w:rsidRDefault="008620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05590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76781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8798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77710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C61F6"/>
    <w:rsid w:val="00162346"/>
    <w:rsid w:val="00204AF9"/>
    <w:rsid w:val="00225575"/>
    <w:rsid w:val="0024011D"/>
    <w:rsid w:val="00247C36"/>
    <w:rsid w:val="002860FE"/>
    <w:rsid w:val="002913B0"/>
    <w:rsid w:val="00341D88"/>
    <w:rsid w:val="00363075"/>
    <w:rsid w:val="004564D3"/>
    <w:rsid w:val="00496676"/>
    <w:rsid w:val="005076D4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10D93"/>
    <w:rsid w:val="00812D0C"/>
    <w:rsid w:val="00862029"/>
    <w:rsid w:val="008904CD"/>
    <w:rsid w:val="00953A48"/>
    <w:rsid w:val="00964669"/>
    <w:rsid w:val="00A0684F"/>
    <w:rsid w:val="00A77429"/>
    <w:rsid w:val="00A91A8C"/>
    <w:rsid w:val="00AB00E6"/>
    <w:rsid w:val="00B8227E"/>
    <w:rsid w:val="00BA7C0A"/>
    <w:rsid w:val="00BD30EE"/>
    <w:rsid w:val="00C35B2B"/>
    <w:rsid w:val="00C90FEA"/>
    <w:rsid w:val="00D145FA"/>
    <w:rsid w:val="00DA2F9B"/>
    <w:rsid w:val="00DE1908"/>
    <w:rsid w:val="00E51A72"/>
    <w:rsid w:val="00E552E6"/>
    <w:rsid w:val="00E66E60"/>
    <w:rsid w:val="00F02FDC"/>
    <w:rsid w:val="00F21A4E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2B3E5"/>
  <w15:docId w15:val="{505299A8-E9A0-4728-8AD4-BFA0EA3F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31BE-1218-40D0-A15D-82DE56EE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2018-09-05T19:33:00Z</dcterms:created>
  <dcterms:modified xsi:type="dcterms:W3CDTF">2024-10-08T09:06:00Z</dcterms:modified>
</cp:coreProperties>
</file>