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E12CF" w14:textId="77777777" w:rsidR="00A91A8C" w:rsidRDefault="00A91A8C" w:rsidP="007B1F81"/>
    <w:p w14:paraId="64A44944" w14:textId="77777777" w:rsidR="00B66C5B" w:rsidRDefault="007B1F81" w:rsidP="00B66C5B">
      <w:pPr>
        <w:rPr>
          <w:rFonts w:asciiTheme="minorHAnsi" w:hAnsiTheme="minorHAnsi" w:cstheme="minorHAnsi"/>
          <w:lang w:eastAsia="fr-FR"/>
        </w:rPr>
      </w:pPr>
      <w:r w:rsidRPr="007B1F81">
        <w:rPr>
          <w:b/>
          <w:u w:val="single"/>
        </w:rPr>
        <w:t>DIAGNOSTIC PRINCIPAL :</w:t>
      </w:r>
      <w:r w:rsidR="00B66C5B" w:rsidRPr="00B66C5B">
        <w:rPr>
          <w:rFonts w:asciiTheme="minorHAnsi" w:hAnsiTheme="minorHAnsi" w:cstheme="minorHAnsi"/>
          <w:lang w:eastAsia="fr-FR"/>
        </w:rPr>
        <w:t xml:space="preserve"> </w:t>
      </w:r>
    </w:p>
    <w:p w14:paraId="0D9BAD24" w14:textId="77777777" w:rsidR="00B66C5B" w:rsidRDefault="00B66C5B" w:rsidP="00B66C5B">
      <w:pPr>
        <w:rPr>
          <w:rFonts w:asciiTheme="minorHAnsi" w:hAnsiTheme="minorHAnsi" w:cstheme="minorHAnsi"/>
          <w:lang w:eastAsia="fr-FR"/>
        </w:rPr>
      </w:pPr>
      <w:r w:rsidRPr="00087E94">
        <w:rPr>
          <w:rFonts w:asciiTheme="minorHAnsi" w:hAnsiTheme="minorHAnsi" w:cstheme="minorHAnsi"/>
          <w:lang w:eastAsia="fr-FR"/>
        </w:rPr>
        <w:t>T82.7 Infection et réaction inflammatoire dues à d'autres prothèses, implants et greffes cardiaques et vasculaires</w:t>
      </w:r>
    </w:p>
    <w:p w14:paraId="284E0616" w14:textId="77777777" w:rsidR="007B1F81" w:rsidRPr="007B1F81" w:rsidRDefault="007B1F81" w:rsidP="007B1F81">
      <w:pPr>
        <w:rPr>
          <w:b/>
          <w:u w:val="single"/>
        </w:rPr>
      </w:pPr>
    </w:p>
    <w:p w14:paraId="544C42D2" w14:textId="77777777" w:rsidR="007B1F81" w:rsidRPr="00087E94" w:rsidRDefault="007B1F81" w:rsidP="007B1F81">
      <w:pPr>
        <w:rPr>
          <w:rFonts w:asciiTheme="minorHAnsi" w:hAnsiTheme="minorHAnsi" w:cstheme="minorHAnsi"/>
        </w:rPr>
      </w:pPr>
      <w:r w:rsidRPr="00087E94">
        <w:rPr>
          <w:rFonts w:asciiTheme="minorHAnsi" w:hAnsiTheme="minorHAnsi" w:cstheme="minorHAnsi"/>
          <w:b/>
          <w:u w:val="single"/>
        </w:rPr>
        <w:t>DIAGNOSTIC ASSOCIE SIGNIFICATIF</w:t>
      </w:r>
      <w:r w:rsidRPr="00087E94">
        <w:rPr>
          <w:rFonts w:asciiTheme="minorHAnsi" w:hAnsiTheme="minorHAnsi" w:cstheme="minorHAnsi"/>
        </w:rPr>
        <w:t> :</w:t>
      </w:r>
    </w:p>
    <w:p w14:paraId="0CAC6169" w14:textId="77777777" w:rsidR="00B66C5B" w:rsidRPr="00087E94" w:rsidRDefault="00B66C5B" w:rsidP="007B1F81">
      <w:pPr>
        <w:rPr>
          <w:rFonts w:asciiTheme="minorHAnsi" w:hAnsiTheme="minorHAnsi" w:cstheme="minorHAnsi"/>
          <w:lang w:eastAsia="fr-FR"/>
        </w:rPr>
      </w:pPr>
      <w:r w:rsidRPr="00B66C5B">
        <w:rPr>
          <w:rFonts w:asciiTheme="minorHAnsi" w:hAnsiTheme="minorHAnsi" w:cstheme="minorHAnsi"/>
          <w:lang w:eastAsia="fr-FR"/>
        </w:rPr>
        <w:t>A49.0  Infection à staphylocoques, sans précision</w:t>
      </w:r>
    </w:p>
    <w:p w14:paraId="4C21BAEE" w14:textId="77777777" w:rsidR="00596F10" w:rsidRPr="00596F10" w:rsidRDefault="00596F10" w:rsidP="007B1F81">
      <w:pPr>
        <w:rPr>
          <w:rFonts w:asciiTheme="minorHAnsi" w:hAnsiTheme="minorHAnsi" w:cstheme="minorHAnsi"/>
          <w:lang w:eastAsia="fr-FR"/>
        </w:rPr>
      </w:pPr>
      <w:r w:rsidRPr="00596F10">
        <w:rPr>
          <w:rFonts w:ascii="SegoeUI-Light" w:hAnsi="SegoeUI-Light" w:cs="SegoeUI-Light"/>
          <w:sz w:val="20"/>
          <w:szCs w:val="20"/>
          <w:lang w:eastAsia="fr-FR"/>
        </w:rPr>
        <w:t xml:space="preserve">U82.180 Staphylocoques, autres et non précisés, résistants à la </w:t>
      </w:r>
      <w:proofErr w:type="spellStart"/>
      <w:r w:rsidRPr="00596F10">
        <w:rPr>
          <w:rFonts w:ascii="SegoeUI-Light" w:hAnsi="SegoeUI-Light" w:cs="SegoeUI-Light"/>
          <w:sz w:val="20"/>
          <w:szCs w:val="20"/>
          <w:lang w:eastAsia="fr-FR"/>
        </w:rPr>
        <w:t>méthicilline</w:t>
      </w:r>
      <w:proofErr w:type="spellEnd"/>
      <w:r w:rsidRPr="00596F10">
        <w:rPr>
          <w:rFonts w:ascii="SegoeUI-Light" w:hAnsi="SegoeUI-Light" w:cs="SegoeUI-Light"/>
          <w:sz w:val="20"/>
          <w:szCs w:val="20"/>
          <w:lang w:eastAsia="fr-FR"/>
        </w:rPr>
        <w:t>, situation d'infection</w:t>
      </w:r>
    </w:p>
    <w:p w14:paraId="450D28BB" w14:textId="77777777" w:rsidR="00A80700" w:rsidRPr="00087E94" w:rsidRDefault="00A80700" w:rsidP="007B1F81">
      <w:pPr>
        <w:rPr>
          <w:rFonts w:asciiTheme="minorHAnsi" w:hAnsiTheme="minorHAnsi" w:cstheme="minorHAnsi"/>
        </w:rPr>
      </w:pPr>
      <w:r w:rsidRPr="00087E94">
        <w:rPr>
          <w:rFonts w:asciiTheme="minorHAnsi" w:hAnsiTheme="minorHAnsi" w:cstheme="minorHAnsi"/>
        </w:rPr>
        <w:t>I80.8 Phlébite et thrombop</w:t>
      </w:r>
      <w:r w:rsidR="00087E94">
        <w:rPr>
          <w:rFonts w:asciiTheme="minorHAnsi" w:hAnsiTheme="minorHAnsi" w:cstheme="minorHAnsi"/>
        </w:rPr>
        <w:t xml:space="preserve">hlébite d'autres localisations </w:t>
      </w:r>
    </w:p>
    <w:p w14:paraId="24E079D5" w14:textId="77777777" w:rsidR="009C615D" w:rsidRDefault="00890DA0" w:rsidP="007B1F81">
      <w:r w:rsidRPr="00890DA0">
        <w:t>Z71.3 Surveillance et conseils diététiques</w:t>
      </w:r>
    </w:p>
    <w:p w14:paraId="52AEA96F" w14:textId="77777777" w:rsidR="009C615D" w:rsidRDefault="009C615D" w:rsidP="007B1F81"/>
    <w:p w14:paraId="11A6E4FD" w14:textId="77777777" w:rsidR="009C615D" w:rsidRDefault="009C615D" w:rsidP="007B1F81">
      <w:r>
        <w:t>Commentaire éventuel :</w:t>
      </w:r>
    </w:p>
    <w:p w14:paraId="4AAB7355" w14:textId="77777777" w:rsidR="00D572FD" w:rsidRDefault="00F06040" w:rsidP="007B1F81">
      <w:r w:rsidRPr="00F06040">
        <w:t xml:space="preserve">Règle </w:t>
      </w:r>
      <w:r w:rsidR="00B66C5B">
        <w:t>T9 : traitement médical d’une pathologie diagnostiquée</w:t>
      </w:r>
    </w:p>
    <w:p w14:paraId="2E747147" w14:textId="77777777" w:rsidR="00F06040" w:rsidRDefault="00F06040" w:rsidP="007B1F81"/>
    <w:p w14:paraId="442A6BC3" w14:textId="77777777" w:rsidR="00F06040" w:rsidRDefault="00F06040" w:rsidP="007B1F81">
      <w:r>
        <w:t>La malnutrition post chirurgie bariatrique indiquée n’est pas précisée dans ce CRH et ne nous permet pas en l’état de coder une dénutrition. Il convient de trouver dans le dossier de cette patiente les éléments nécessaires pour évaluer le niveau de dénutrition et le coder</w:t>
      </w:r>
      <w:r w:rsidR="00B66C5B">
        <w:t>.</w:t>
      </w:r>
    </w:p>
    <w:sectPr w:rsidR="00F060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61986" w14:textId="77777777" w:rsidR="008C6A9B" w:rsidRDefault="008C6A9B" w:rsidP="00C35B2B">
      <w:pPr>
        <w:spacing w:after="0" w:line="240" w:lineRule="auto"/>
      </w:pPr>
      <w:r>
        <w:separator/>
      </w:r>
    </w:p>
  </w:endnote>
  <w:endnote w:type="continuationSeparator" w:id="0">
    <w:p w14:paraId="4DA82189" w14:textId="77777777" w:rsidR="008C6A9B" w:rsidRDefault="008C6A9B"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UI-Light">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35AD5" w14:textId="77777777" w:rsidR="00F16E55" w:rsidRDefault="00F16E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1C10" w14:textId="77777777" w:rsidR="00F16E55" w:rsidRDefault="00F16E5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43496" w14:textId="77777777" w:rsidR="00F16E55" w:rsidRDefault="00F16E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AB59D" w14:textId="77777777" w:rsidR="008C6A9B" w:rsidRDefault="008C6A9B" w:rsidP="00C35B2B">
      <w:pPr>
        <w:spacing w:after="0" w:line="240" w:lineRule="auto"/>
      </w:pPr>
      <w:r>
        <w:separator/>
      </w:r>
    </w:p>
  </w:footnote>
  <w:footnote w:type="continuationSeparator" w:id="0">
    <w:p w14:paraId="0AF65C1A" w14:textId="77777777" w:rsidR="008C6A9B" w:rsidRDefault="008C6A9B"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A3B6B" w14:textId="77777777" w:rsidR="00F16E55" w:rsidRDefault="00F16E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088"/>
      <w:gridCol w:w="4988"/>
      <w:gridCol w:w="1936"/>
    </w:tblGrid>
    <w:tr w:rsidR="00C35B2B" w14:paraId="13E6E47B"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38C6F24" w14:textId="0195C69A"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5D907046" w14:textId="77777777" w:rsidR="00C35B2B" w:rsidRPr="00C35B2B" w:rsidRDefault="00C35B2B" w:rsidP="00C35B2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7B140E">
            <w:rPr>
              <w:b/>
            </w:rPr>
            <w:t>21-2022</w:t>
          </w:r>
        </w:p>
      </w:tc>
      <w:tc>
        <w:tcPr>
          <w:tcW w:w="1307" w:type="dxa"/>
          <w:tcBorders>
            <w:top w:val="none" w:sz="0" w:space="0" w:color="auto"/>
            <w:left w:val="none" w:sz="0" w:space="0" w:color="auto"/>
            <w:bottom w:val="none" w:sz="0" w:space="0" w:color="auto"/>
            <w:right w:val="none" w:sz="0" w:space="0" w:color="auto"/>
          </w:tcBorders>
        </w:tcPr>
        <w:p w14:paraId="0930101D"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9C615D">
            <w:rPr>
              <w:b/>
            </w:rPr>
            <w:t xml:space="preserve"> - FP</w:t>
          </w:r>
        </w:p>
      </w:tc>
    </w:tr>
    <w:tr w:rsidR="00C35B2B" w14:paraId="793232D7"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1BD80227"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48D73FE0"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04BA4693" w14:textId="77777777" w:rsidR="007A3296" w:rsidRDefault="00D45625" w:rsidP="00F16E55">
          <w:pPr>
            <w:pStyle w:val="En-tte"/>
            <w:cnfStyle w:val="000000100000" w:firstRow="0" w:lastRow="0" w:firstColumn="0" w:lastColumn="0" w:oddVBand="0" w:evenVBand="0" w:oddHBand="1" w:evenHBand="0" w:firstRowFirstColumn="0" w:firstRowLastColumn="0" w:lastRowFirstColumn="0" w:lastRowLastColumn="0"/>
          </w:pPr>
          <w:r>
            <w:rPr>
              <w:b/>
              <w:color w:val="FF0000"/>
            </w:rPr>
            <w:t>Infectio</w:t>
          </w:r>
          <w:r w:rsidR="00F16E55">
            <w:rPr>
              <w:b/>
              <w:color w:val="FF0000"/>
            </w:rPr>
            <w:t>2</w:t>
          </w:r>
          <w:r w:rsidR="007B1F81">
            <w:rPr>
              <w:b/>
              <w:color w:val="FF0000"/>
            </w:rPr>
            <w:t>_corrigé</w:t>
          </w:r>
        </w:p>
      </w:tc>
    </w:tr>
  </w:tbl>
  <w:p w14:paraId="15D56036"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6109F" w14:textId="77777777" w:rsidR="00F16E55" w:rsidRDefault="00F16E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7051055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299757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29425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75890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87E94"/>
    <w:rsid w:val="000A4F08"/>
    <w:rsid w:val="000B57F9"/>
    <w:rsid w:val="001144F6"/>
    <w:rsid w:val="00162346"/>
    <w:rsid w:val="0024011D"/>
    <w:rsid w:val="00247C36"/>
    <w:rsid w:val="002860FE"/>
    <w:rsid w:val="002913B0"/>
    <w:rsid w:val="004564D3"/>
    <w:rsid w:val="004B1670"/>
    <w:rsid w:val="005076D4"/>
    <w:rsid w:val="00575861"/>
    <w:rsid w:val="00596F10"/>
    <w:rsid w:val="005F257E"/>
    <w:rsid w:val="00601522"/>
    <w:rsid w:val="00702C19"/>
    <w:rsid w:val="00736633"/>
    <w:rsid w:val="007910CB"/>
    <w:rsid w:val="007927EC"/>
    <w:rsid w:val="007A3296"/>
    <w:rsid w:val="007B140E"/>
    <w:rsid w:val="007B1F81"/>
    <w:rsid w:val="007C31B9"/>
    <w:rsid w:val="007F1C8A"/>
    <w:rsid w:val="008904CD"/>
    <w:rsid w:val="00890DA0"/>
    <w:rsid w:val="008C6A9B"/>
    <w:rsid w:val="009423F7"/>
    <w:rsid w:val="00953A48"/>
    <w:rsid w:val="009C615D"/>
    <w:rsid w:val="00A80700"/>
    <w:rsid w:val="00A91A8C"/>
    <w:rsid w:val="00B13022"/>
    <w:rsid w:val="00B16BF3"/>
    <w:rsid w:val="00B66C5B"/>
    <w:rsid w:val="00B8227E"/>
    <w:rsid w:val="00BA7C0A"/>
    <w:rsid w:val="00C242D1"/>
    <w:rsid w:val="00C35B2B"/>
    <w:rsid w:val="00D45625"/>
    <w:rsid w:val="00D572FD"/>
    <w:rsid w:val="00DA2F9B"/>
    <w:rsid w:val="00DE1908"/>
    <w:rsid w:val="00E51A72"/>
    <w:rsid w:val="00F02FDC"/>
    <w:rsid w:val="00F06040"/>
    <w:rsid w:val="00F16E55"/>
    <w:rsid w:val="00FC0302"/>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8BFF7"/>
  <w15:docId w15:val="{87048785-40C7-433B-A067-4119722A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867AB-68BD-4CFE-AF89-C123A5243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120</Words>
  <Characters>666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13</cp:revision>
  <cp:lastPrinted>2015-09-09T16:36:00Z</cp:lastPrinted>
  <dcterms:created xsi:type="dcterms:W3CDTF">2018-09-05T19:35:00Z</dcterms:created>
  <dcterms:modified xsi:type="dcterms:W3CDTF">2024-10-08T09:10:00Z</dcterms:modified>
</cp:coreProperties>
</file>