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B5D5" w14:textId="77777777" w:rsidR="00805A05" w:rsidRPr="00045605" w:rsidRDefault="00E63426" w:rsidP="00CF2B70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4E4365A9" w14:textId="77777777" w:rsidR="002B7319" w:rsidRPr="007E5E97" w:rsidRDefault="002B7319" w:rsidP="002B7319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0A9FEC36" w14:textId="77777777" w:rsidR="00E63426" w:rsidRPr="00045605" w:rsidRDefault="00E63426" w:rsidP="00CF2B70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34358D50" w14:textId="77777777" w:rsidR="00E63426" w:rsidRPr="00045605" w:rsidRDefault="00E63426" w:rsidP="00CF2B70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057B0AA9" w14:textId="77777777" w:rsidR="00E63426" w:rsidRDefault="00E63426" w:rsidP="00CF2B70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5C54ABA4" w14:textId="77777777" w:rsidR="00CA15A1" w:rsidRDefault="00CA15A1" w:rsidP="00CA15A1">
      <w:pPr>
        <w:spacing w:after="0" w:line="240" w:lineRule="auto"/>
        <w:rPr>
          <w:i/>
        </w:rPr>
      </w:pPr>
      <w:r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37499FE6" w14:textId="77777777" w:rsidR="00E63426" w:rsidRDefault="00E63426" w:rsidP="00E63426"/>
    <w:p w14:paraId="1E8814EC" w14:textId="77777777" w:rsidR="009B346B" w:rsidRDefault="00045605" w:rsidP="0039388C">
      <w:pPr>
        <w:pStyle w:val="Paragraphedeliste"/>
        <w:numPr>
          <w:ilvl w:val="0"/>
          <w:numId w:val="7"/>
        </w:numPr>
      </w:pPr>
      <w:r>
        <w:t>Patient ayant chuté accidentellement sur la voie publique, hospitalisé pour une fracture du col fémoral.</w:t>
      </w:r>
      <w:r w:rsidR="002920B7">
        <w:t xml:space="preserve"> La fracture est ostéosynthésée.</w:t>
      </w:r>
      <w:r w:rsidR="00056F1E">
        <w:br/>
      </w:r>
    </w:p>
    <w:p w14:paraId="65975775" w14:textId="77777777" w:rsidR="00045605" w:rsidRDefault="00045605" w:rsidP="0039388C">
      <w:pPr>
        <w:pStyle w:val="Paragraphedeliste"/>
        <w:numPr>
          <w:ilvl w:val="0"/>
          <w:numId w:val="7"/>
        </w:numPr>
      </w:pPr>
      <w:r>
        <w:t>Patient hospitalisé pour une luxation récidivante de l’épaule.</w:t>
      </w:r>
      <w:r w:rsidR="002920B7">
        <w:t xml:space="preserve"> </w:t>
      </w:r>
      <w:r w:rsidR="009B346B">
        <w:t xml:space="preserve">Réduction </w:t>
      </w:r>
      <w:r w:rsidR="00B86328">
        <w:t>de la luxation.</w:t>
      </w:r>
      <w:r w:rsidR="009B346B">
        <w:br/>
      </w:r>
    </w:p>
    <w:p w14:paraId="7A030668" w14:textId="77777777" w:rsidR="00045605" w:rsidRDefault="00045605" w:rsidP="0039388C">
      <w:pPr>
        <w:pStyle w:val="Paragraphedeliste"/>
        <w:numPr>
          <w:ilvl w:val="0"/>
          <w:numId w:val="7"/>
        </w:numPr>
      </w:pPr>
      <w:r>
        <w:t>Patiente hospitalisée pour le traitement chirurgical d’une rupture de la coiffe des rotateurs.</w:t>
      </w:r>
      <w:r w:rsidR="00056F1E">
        <w:br/>
      </w:r>
    </w:p>
    <w:p w14:paraId="6119BAFE" w14:textId="77777777" w:rsidR="00045605" w:rsidRDefault="00045605" w:rsidP="0039388C">
      <w:pPr>
        <w:pStyle w:val="Paragraphedeliste"/>
        <w:numPr>
          <w:ilvl w:val="0"/>
          <w:numId w:val="7"/>
        </w:numPr>
      </w:pPr>
      <w:r>
        <w:t>Patient ayant bénéficié il y a quelques mois d’une ostéosynthèse d’une fracture de l’</w:t>
      </w:r>
      <w:r w:rsidR="00111FD5">
        <w:t>humérus. Il présente des douleurs au niveau du matériel laissé en place, il est donc hospitalisé pour ablation du matériel.</w:t>
      </w:r>
      <w:r w:rsidR="00056F1E">
        <w:br/>
      </w:r>
    </w:p>
    <w:p w14:paraId="33277BD0" w14:textId="77777777" w:rsidR="003D679C" w:rsidRDefault="00111FD5" w:rsidP="0039388C">
      <w:pPr>
        <w:pStyle w:val="Paragraphedeliste"/>
        <w:numPr>
          <w:ilvl w:val="0"/>
          <w:numId w:val="7"/>
        </w:numPr>
      </w:pPr>
      <w:r>
        <w:t>Patient hospitalisé pour l’ablation pré</w:t>
      </w:r>
      <w:r w:rsidR="002B7319">
        <w:t>vue de matériel d’ostéosynthèse</w:t>
      </w:r>
      <w:r w:rsidR="00CC298F">
        <w:t xml:space="preserve">, </w:t>
      </w:r>
      <w:r w:rsidR="002B7319">
        <w:t xml:space="preserve">à 6 mois </w:t>
      </w:r>
      <w:r>
        <w:t>d’une fracture du métacarpe.</w:t>
      </w:r>
      <w:r w:rsidR="00056F1E">
        <w:br/>
      </w:r>
    </w:p>
    <w:p w14:paraId="0CC5B6BA" w14:textId="77777777" w:rsidR="000F1CF8" w:rsidRPr="000F1CF8" w:rsidRDefault="00111FD5" w:rsidP="0039388C">
      <w:pPr>
        <w:pStyle w:val="Paragraphedeliste"/>
        <w:numPr>
          <w:ilvl w:val="0"/>
          <w:numId w:val="7"/>
        </w:numPr>
        <w:rPr>
          <w:i/>
        </w:rPr>
      </w:pPr>
      <w:r>
        <w:t xml:space="preserve">Patient ayant eu un accident de scooter, hospitalisé pour de multiples fractures, fracture du maxillaire inférieur, fracture de la clavicule, fracture </w:t>
      </w:r>
      <w:r w:rsidR="002168EE">
        <w:t xml:space="preserve">ouverte </w:t>
      </w:r>
      <w:r>
        <w:t>du plateau tibial. Il bénéficie d’une prise en charge chirurgicale de sa fracture du plateau tibial.</w:t>
      </w:r>
      <w:r w:rsidR="007E5E97">
        <w:br/>
      </w:r>
    </w:p>
    <w:p w14:paraId="17FFC115" w14:textId="77777777" w:rsidR="00B86328" w:rsidRDefault="003F40EF" w:rsidP="0039388C">
      <w:pPr>
        <w:pStyle w:val="Paragraphedeliste"/>
        <w:numPr>
          <w:ilvl w:val="0"/>
          <w:numId w:val="7"/>
        </w:numPr>
      </w:pPr>
      <w:r>
        <w:t>P</w:t>
      </w:r>
      <w:r w:rsidR="00111FD5">
        <w:t>atiente</w:t>
      </w:r>
      <w:r>
        <w:t xml:space="preserve"> de 56 ans, diabétique de type 1, hospitalisée </w:t>
      </w:r>
      <w:r w:rsidR="007F1AC9">
        <w:t xml:space="preserve">pour des douleurs intenses dorsales, l’imagerie objective </w:t>
      </w:r>
      <w:r>
        <w:t>une fracture ostéoporotique d’une vertèbre lombaire</w:t>
      </w:r>
      <w:r w:rsidR="00056F1E">
        <w:br/>
      </w:r>
    </w:p>
    <w:p w14:paraId="499F0F5B" w14:textId="77777777" w:rsidR="004837DD" w:rsidRPr="00570C4C" w:rsidRDefault="003F40EF" w:rsidP="0039388C">
      <w:pPr>
        <w:pStyle w:val="Paragraphedeliste"/>
        <w:numPr>
          <w:ilvl w:val="0"/>
          <w:numId w:val="7"/>
        </w:numPr>
        <w:rPr>
          <w:i/>
        </w:rPr>
      </w:pPr>
      <w:r>
        <w:t>Patiente hospitalisée pour une luxation d’une prothèse de hanche mise en place il y a 10 ans.</w:t>
      </w:r>
      <w:r w:rsidR="005C6C12">
        <w:t xml:space="preserve"> Changement de prothèse.</w:t>
      </w:r>
      <w:r w:rsidR="00056F1E">
        <w:br/>
      </w:r>
    </w:p>
    <w:p w14:paraId="761CEFE5" w14:textId="77777777" w:rsidR="003F40EF" w:rsidRDefault="003F40EF" w:rsidP="0039388C">
      <w:pPr>
        <w:pStyle w:val="Paragraphedeliste"/>
        <w:numPr>
          <w:ilvl w:val="0"/>
          <w:numId w:val="7"/>
        </w:numPr>
      </w:pPr>
      <w:r>
        <w:t xml:space="preserve">Patient de 3 ans, tombé du </w:t>
      </w:r>
      <w:r w:rsidR="006F185C">
        <w:t>toboggan</w:t>
      </w:r>
      <w:r>
        <w:t xml:space="preserve"> au square, hospitalisé quelques heures pour la surveillance d’un traumatisme crânien avec perte de connaissance</w:t>
      </w:r>
      <w:r w:rsidR="00C64236">
        <w:t xml:space="preserve"> sur place</w:t>
      </w:r>
      <w:r>
        <w:t>.</w:t>
      </w:r>
      <w:r w:rsidR="00C64236">
        <w:t xml:space="preserve"> Rien d’anormal à l’imagerie, pas de nausée ou de trouble de la conscience lors de la surveillance, l’enfant est autorisé à rentrer chez lui.</w:t>
      </w:r>
      <w:r w:rsidR="002D59DE">
        <w:br/>
      </w:r>
    </w:p>
    <w:p w14:paraId="4F2C1C3A" w14:textId="77777777" w:rsidR="00045605" w:rsidRPr="00E63426" w:rsidRDefault="003F40EF" w:rsidP="0039388C">
      <w:pPr>
        <w:pStyle w:val="Paragraphedeliste"/>
        <w:numPr>
          <w:ilvl w:val="0"/>
          <w:numId w:val="7"/>
        </w:numPr>
      </w:pPr>
      <w:r>
        <w:t>Patient de 77 ans, ayant eu un cancer du poumon opéré en 2010</w:t>
      </w:r>
      <w:r w:rsidR="008949E4">
        <w:t xml:space="preserve"> actuellement en rémission</w:t>
      </w:r>
      <w:r>
        <w:t xml:space="preserve">, </w:t>
      </w:r>
      <w:r w:rsidR="008949E4">
        <w:t>admis pour des douleurs rachidiennes</w:t>
      </w:r>
      <w:r w:rsidR="00983E8F">
        <w:t xml:space="preserve"> lombaires</w:t>
      </w:r>
      <w:r w:rsidR="008949E4">
        <w:t xml:space="preserve">. Les examens d’imagerie </w:t>
      </w:r>
      <w:r w:rsidR="002D59DE">
        <w:t>ne mettent rien en évidence de particulier, le patient est soulagé par des antalgiques de palier 2.</w:t>
      </w:r>
      <w:r w:rsidR="00983E8F">
        <w:br/>
      </w:r>
    </w:p>
    <w:sectPr w:rsidR="00045605" w:rsidRPr="00E63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B4AE1" w14:textId="77777777" w:rsidR="00C42E9A" w:rsidRDefault="00C42E9A" w:rsidP="00C35B2B">
      <w:pPr>
        <w:spacing w:after="0" w:line="240" w:lineRule="auto"/>
      </w:pPr>
      <w:r>
        <w:separator/>
      </w:r>
    </w:p>
  </w:endnote>
  <w:endnote w:type="continuationSeparator" w:id="0">
    <w:p w14:paraId="2C61D3D5" w14:textId="77777777" w:rsidR="00C42E9A" w:rsidRDefault="00C42E9A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BC90" w14:textId="77777777" w:rsidR="002E6A50" w:rsidRDefault="002E6A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6556" w14:textId="77777777" w:rsidR="002E6A50" w:rsidRDefault="002E6A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6B298" w14:textId="77777777" w:rsidR="002E6A50" w:rsidRDefault="002E6A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065A" w14:textId="77777777" w:rsidR="00C42E9A" w:rsidRDefault="00C42E9A" w:rsidP="00C35B2B">
      <w:pPr>
        <w:spacing w:after="0" w:line="240" w:lineRule="auto"/>
      </w:pPr>
      <w:r>
        <w:separator/>
      </w:r>
    </w:p>
  </w:footnote>
  <w:footnote w:type="continuationSeparator" w:id="0">
    <w:p w14:paraId="7DEF7C2F" w14:textId="77777777" w:rsidR="00C42E9A" w:rsidRDefault="00C42E9A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DA1EA" w14:textId="77777777" w:rsidR="002E6A50" w:rsidRDefault="002E6A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376"/>
      <w:gridCol w:w="5529"/>
      <w:gridCol w:w="1307"/>
    </w:tblGrid>
    <w:tr w:rsidR="00C35B2B" w14:paraId="71A22011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20978EA" w14:textId="2F774366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0706D0B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4141623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3D8FFC40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3B526D5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9FA08F" w14:textId="77777777" w:rsidR="00C35B2B" w:rsidRDefault="00E63426" w:rsidP="00C35B2B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2E6A50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11DF4613" w14:textId="77777777" w:rsidR="007A3296" w:rsidRDefault="00045605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locomoteur</w:t>
          </w:r>
        </w:p>
      </w:tc>
    </w:tr>
  </w:tbl>
  <w:p w14:paraId="57CD09AD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D9B7" w14:textId="77777777" w:rsidR="002E6A50" w:rsidRDefault="002E6A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4421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7886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82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4410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796334">
    <w:abstractNumId w:val="0"/>
  </w:num>
  <w:num w:numId="6" w16cid:durableId="795564564">
    <w:abstractNumId w:val="1"/>
  </w:num>
  <w:num w:numId="7" w16cid:durableId="7493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45605"/>
    <w:rsid w:val="00056F1E"/>
    <w:rsid w:val="000A4F08"/>
    <w:rsid w:val="000B57F9"/>
    <w:rsid w:val="000F1CF8"/>
    <w:rsid w:val="001044D8"/>
    <w:rsid w:val="00111FD5"/>
    <w:rsid w:val="00162346"/>
    <w:rsid w:val="001B28E9"/>
    <w:rsid w:val="002168EE"/>
    <w:rsid w:val="0024011D"/>
    <w:rsid w:val="00253045"/>
    <w:rsid w:val="002860FE"/>
    <w:rsid w:val="002920B7"/>
    <w:rsid w:val="002B7319"/>
    <w:rsid w:val="002D59DE"/>
    <w:rsid w:val="002E6A50"/>
    <w:rsid w:val="003427ED"/>
    <w:rsid w:val="00362B19"/>
    <w:rsid w:val="0039388C"/>
    <w:rsid w:val="003D679C"/>
    <w:rsid w:val="003F40EF"/>
    <w:rsid w:val="004564D3"/>
    <w:rsid w:val="004837DD"/>
    <w:rsid w:val="00491C6C"/>
    <w:rsid w:val="005076D4"/>
    <w:rsid w:val="00570C4C"/>
    <w:rsid w:val="005B456D"/>
    <w:rsid w:val="005C572D"/>
    <w:rsid w:val="005C62AB"/>
    <w:rsid w:val="005C6C12"/>
    <w:rsid w:val="00601522"/>
    <w:rsid w:val="00610AD3"/>
    <w:rsid w:val="006A77FD"/>
    <w:rsid w:val="006D6338"/>
    <w:rsid w:val="006F185C"/>
    <w:rsid w:val="00702C19"/>
    <w:rsid w:val="00722750"/>
    <w:rsid w:val="00736633"/>
    <w:rsid w:val="007755F5"/>
    <w:rsid w:val="007927EC"/>
    <w:rsid w:val="007A3296"/>
    <w:rsid w:val="007D7316"/>
    <w:rsid w:val="007E5E97"/>
    <w:rsid w:val="007F1AC9"/>
    <w:rsid w:val="00805A05"/>
    <w:rsid w:val="008904CD"/>
    <w:rsid w:val="008949E4"/>
    <w:rsid w:val="00974B77"/>
    <w:rsid w:val="00983E8F"/>
    <w:rsid w:val="009B346B"/>
    <w:rsid w:val="00A85A32"/>
    <w:rsid w:val="00A909CC"/>
    <w:rsid w:val="00A91A8C"/>
    <w:rsid w:val="00AB6D25"/>
    <w:rsid w:val="00B8227E"/>
    <w:rsid w:val="00B86328"/>
    <w:rsid w:val="00B9422F"/>
    <w:rsid w:val="00BA59D3"/>
    <w:rsid w:val="00BA7C0A"/>
    <w:rsid w:val="00C35B2B"/>
    <w:rsid w:val="00C42E9A"/>
    <w:rsid w:val="00C44154"/>
    <w:rsid w:val="00C64236"/>
    <w:rsid w:val="00CA15A1"/>
    <w:rsid w:val="00CC298F"/>
    <w:rsid w:val="00CF2B70"/>
    <w:rsid w:val="00D90C9F"/>
    <w:rsid w:val="00DA2F9B"/>
    <w:rsid w:val="00E17D93"/>
    <w:rsid w:val="00E51A72"/>
    <w:rsid w:val="00E63426"/>
    <w:rsid w:val="00E71AA9"/>
    <w:rsid w:val="00F02FDC"/>
    <w:rsid w:val="00F7279E"/>
    <w:rsid w:val="00FC0302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87FC"/>
  <w15:docId w15:val="{8A6CC84D-85C2-4FC8-83DE-CCB759D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9A85-E0E3-4476-9E01-84831F38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8</cp:revision>
  <cp:lastPrinted>2015-09-09T16:36:00Z</cp:lastPrinted>
  <dcterms:created xsi:type="dcterms:W3CDTF">2016-06-30T09:34:00Z</dcterms:created>
  <dcterms:modified xsi:type="dcterms:W3CDTF">2024-10-08T08:00:00Z</dcterms:modified>
</cp:coreProperties>
</file>