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F87E6C" w14:textId="77777777" w:rsidR="007B1F81" w:rsidRDefault="007B1F81" w:rsidP="007B1F81">
      <w:pPr>
        <w:rPr>
          <w:b/>
          <w:u w:val="single"/>
        </w:rPr>
      </w:pPr>
      <w:r w:rsidRPr="007B1F81">
        <w:rPr>
          <w:b/>
          <w:u w:val="single"/>
        </w:rPr>
        <w:t>DIAGNOSTIC PRINCIPAL :</w:t>
      </w:r>
    </w:p>
    <w:p w14:paraId="4016A257" w14:textId="77777777" w:rsidR="0014323C" w:rsidRPr="007B7035" w:rsidRDefault="0014323C" w:rsidP="0014323C">
      <w:pPr>
        <w:rPr>
          <w:b/>
        </w:rPr>
      </w:pPr>
      <w:r w:rsidRPr="007B7035">
        <w:rPr>
          <w:b/>
        </w:rPr>
        <w:t xml:space="preserve">DP S72.00 - Fracture fermée du col du fémur    </w:t>
      </w:r>
    </w:p>
    <w:p w14:paraId="3F5ECAC8" w14:textId="77777777" w:rsidR="007B2C44" w:rsidRPr="007B1F81" w:rsidRDefault="007B2C44" w:rsidP="007B1F81">
      <w:pPr>
        <w:rPr>
          <w:b/>
          <w:u w:val="single"/>
        </w:rPr>
      </w:pPr>
    </w:p>
    <w:p w14:paraId="32963911" w14:textId="77777777" w:rsidR="007B1F81" w:rsidRDefault="007B1F81" w:rsidP="007B1F81">
      <w:r w:rsidRPr="007B1F81">
        <w:rPr>
          <w:b/>
          <w:u w:val="single"/>
        </w:rPr>
        <w:t>DIAGNOSTIC ASSOCIE SIGNIFICATIF</w:t>
      </w:r>
      <w:r>
        <w:t> :</w:t>
      </w:r>
    </w:p>
    <w:p w14:paraId="481815EB" w14:textId="77777777" w:rsidR="0014323C" w:rsidRPr="007B7035" w:rsidRDefault="0014323C" w:rsidP="0014323C">
      <w:pPr>
        <w:rPr>
          <w:b/>
        </w:rPr>
      </w:pPr>
      <w:r w:rsidRPr="007B7035">
        <w:rPr>
          <w:b/>
        </w:rPr>
        <w:t xml:space="preserve">DAS S01.1 - Plaie ouverte de la paupière et de la région péri-oculaire    </w:t>
      </w:r>
    </w:p>
    <w:p w14:paraId="5F0DC2EB" w14:textId="77777777" w:rsidR="0014323C" w:rsidRPr="007B7035" w:rsidRDefault="0014323C" w:rsidP="0014323C">
      <w:pPr>
        <w:rPr>
          <w:b/>
        </w:rPr>
      </w:pPr>
      <w:r w:rsidRPr="007B7035">
        <w:rPr>
          <w:b/>
        </w:rPr>
        <w:t xml:space="preserve">DAS S00.8 - Lésion traumatique superficielle d'autres parties de la tête    </w:t>
      </w:r>
    </w:p>
    <w:p w14:paraId="2DFB9673" w14:textId="77777777" w:rsidR="0014323C" w:rsidRPr="007B7035" w:rsidRDefault="0014323C" w:rsidP="0014323C">
      <w:pPr>
        <w:rPr>
          <w:b/>
        </w:rPr>
      </w:pPr>
      <w:r>
        <w:rPr>
          <w:b/>
        </w:rPr>
        <w:t>D</w:t>
      </w:r>
      <w:r w:rsidRPr="007B7035">
        <w:rPr>
          <w:b/>
        </w:rPr>
        <w:t xml:space="preserve">AS S06.50 - Hémorragie sous-durale traumatique, sans plaie intracrânienne    </w:t>
      </w:r>
    </w:p>
    <w:p w14:paraId="27C794E4" w14:textId="77777777" w:rsidR="0014323C" w:rsidRPr="007B7035" w:rsidRDefault="0014323C" w:rsidP="0014323C">
      <w:pPr>
        <w:rPr>
          <w:b/>
        </w:rPr>
      </w:pPr>
      <w:r w:rsidRPr="007B7035">
        <w:rPr>
          <w:b/>
        </w:rPr>
        <w:t xml:space="preserve">DAS S00.1 - Contusion de la paupière et de la région péri-oculaire    </w:t>
      </w:r>
    </w:p>
    <w:p w14:paraId="2EA7C3E0" w14:textId="77777777" w:rsidR="0014323C" w:rsidRDefault="0014323C" w:rsidP="0014323C">
      <w:pPr>
        <w:rPr>
          <w:b/>
        </w:rPr>
      </w:pPr>
      <w:r w:rsidRPr="007B7035">
        <w:rPr>
          <w:b/>
        </w:rPr>
        <w:t>DAS S02.30 - Fracture fermée du plancher de l'orbite</w:t>
      </w:r>
    </w:p>
    <w:p w14:paraId="75122211" w14:textId="77777777" w:rsidR="001B1A59" w:rsidRPr="007B7035" w:rsidRDefault="001B1A59" w:rsidP="0014323C">
      <w:pPr>
        <w:rPr>
          <w:b/>
        </w:rPr>
      </w:pPr>
      <w:r>
        <w:rPr>
          <w:b/>
        </w:rPr>
        <w:t xml:space="preserve">DAS </w:t>
      </w:r>
      <w:r w:rsidRPr="001B1A59">
        <w:rPr>
          <w:rFonts w:ascii="SegoeUI-Light" w:hAnsi="SegoeUI-Light" w:cs="SegoeUI-Light"/>
          <w:b/>
          <w:sz w:val="20"/>
          <w:szCs w:val="20"/>
          <w:lang w:eastAsia="fr-FR"/>
        </w:rPr>
        <w:t>S02.1 Fracture de la base du crâne</w:t>
      </w:r>
    </w:p>
    <w:p w14:paraId="53B1E122" w14:textId="77777777" w:rsidR="00A7463A" w:rsidRDefault="0014323C" w:rsidP="0014323C">
      <w:pPr>
        <w:rPr>
          <w:b/>
        </w:rPr>
      </w:pPr>
      <w:r w:rsidRPr="00D36ECF">
        <w:rPr>
          <w:b/>
        </w:rPr>
        <w:t>DAS R41.0 - Désorientation, sans précision</w:t>
      </w:r>
    </w:p>
    <w:p w14:paraId="6A16B209" w14:textId="77777777" w:rsidR="0014323C" w:rsidRPr="00A7463A" w:rsidRDefault="00A7463A" w:rsidP="0014323C">
      <w:pPr>
        <w:rPr>
          <w:b/>
        </w:rPr>
      </w:pPr>
      <w:r w:rsidRPr="00A7463A">
        <w:rPr>
          <w:rFonts w:ascii="SegoeUI-Light" w:hAnsi="SegoeUI-Light" w:cs="SegoeUI-Light"/>
          <w:b/>
          <w:sz w:val="20"/>
          <w:szCs w:val="20"/>
          <w:lang w:eastAsia="fr-FR"/>
        </w:rPr>
        <w:t>R90.0 Image intracrânienne anormale</w:t>
      </w:r>
      <w:r w:rsidR="0014323C" w:rsidRPr="00A7463A">
        <w:rPr>
          <w:b/>
        </w:rPr>
        <w:t xml:space="preserve">    </w:t>
      </w:r>
    </w:p>
    <w:p w14:paraId="03B8F790" w14:textId="77777777" w:rsidR="0014323C" w:rsidRDefault="0014323C" w:rsidP="0014323C">
      <w:pPr>
        <w:rPr>
          <w:b/>
        </w:rPr>
      </w:pPr>
      <w:r w:rsidRPr="00D36ECF">
        <w:rPr>
          <w:b/>
        </w:rPr>
        <w:t>DAS I34.0 - Insuffisance (de la valvule) mitrale (non rhumatismale)</w:t>
      </w:r>
    </w:p>
    <w:p w14:paraId="69FDFF30" w14:textId="77777777" w:rsidR="0014323C" w:rsidRDefault="0014323C" w:rsidP="0014323C">
      <w:pPr>
        <w:rPr>
          <w:b/>
        </w:rPr>
      </w:pPr>
      <w:r w:rsidRPr="006E6527">
        <w:rPr>
          <w:b/>
        </w:rPr>
        <w:t>DAS W01.0 - Chute de plain-pied résultant de glissade, faux pas et trébuchement, domicile</w:t>
      </w:r>
    </w:p>
    <w:p w14:paraId="5033D743" w14:textId="77777777" w:rsidR="007C0032" w:rsidRDefault="007C0032" w:rsidP="0014323C">
      <w:pPr>
        <w:rPr>
          <w:b/>
        </w:rPr>
      </w:pPr>
      <w:r>
        <w:rPr>
          <w:b/>
        </w:rPr>
        <w:t>DAS E039 Hypothyroïdie</w:t>
      </w:r>
    </w:p>
    <w:p w14:paraId="6FD604B9" w14:textId="77777777" w:rsidR="00A7463A" w:rsidRDefault="00A7463A" w:rsidP="007B1F81">
      <w:pPr>
        <w:rPr>
          <w:b/>
          <w:u w:val="single"/>
        </w:rPr>
      </w:pPr>
    </w:p>
    <w:p w14:paraId="00800FD1" w14:textId="77777777" w:rsidR="00A7463A" w:rsidRDefault="00A7463A" w:rsidP="007B1F81">
      <w:pPr>
        <w:rPr>
          <w:b/>
          <w:u w:val="single"/>
        </w:rPr>
      </w:pPr>
    </w:p>
    <w:p w14:paraId="4BEB79E6" w14:textId="77777777" w:rsidR="009C615D" w:rsidRDefault="009C615D" w:rsidP="007B1F81">
      <w:r w:rsidRPr="007B2C44">
        <w:rPr>
          <w:b/>
          <w:u w:val="single"/>
        </w:rPr>
        <w:t>Commentaire éventuel</w:t>
      </w:r>
      <w:r>
        <w:t> :</w:t>
      </w:r>
    </w:p>
    <w:p w14:paraId="23B05682" w14:textId="77777777" w:rsidR="0014323C" w:rsidRDefault="0014323C" w:rsidP="0014323C">
      <w:pPr>
        <w:rPr>
          <w:rFonts w:ascii="Arial" w:hAnsi="Arial" w:cs="Arial"/>
          <w:sz w:val="20"/>
          <w:szCs w:val="20"/>
        </w:rPr>
      </w:pPr>
      <w:r w:rsidRPr="00A757B3">
        <w:rPr>
          <w:rFonts w:ascii="Arial" w:hAnsi="Arial" w:cs="Arial"/>
          <w:b/>
          <w:sz w:val="20"/>
          <w:szCs w:val="20"/>
          <w:u w:val="single"/>
        </w:rPr>
        <w:t>Règle T3 :</w:t>
      </w:r>
      <w:r w:rsidRPr="00A757B3">
        <w:rPr>
          <w:rFonts w:ascii="Arial" w:hAnsi="Arial" w:cs="Arial"/>
          <w:sz w:val="20"/>
          <w:szCs w:val="20"/>
        </w:rPr>
        <w:t xml:space="preserve"> le DP est la </w:t>
      </w:r>
      <w:r w:rsidR="009268A5">
        <w:rPr>
          <w:rFonts w:ascii="Arial" w:hAnsi="Arial" w:cs="Arial"/>
          <w:sz w:val="20"/>
          <w:szCs w:val="20"/>
        </w:rPr>
        <w:t>pathologie</w:t>
      </w:r>
      <w:r w:rsidRPr="00A757B3">
        <w:rPr>
          <w:rFonts w:ascii="Arial" w:hAnsi="Arial" w:cs="Arial"/>
          <w:sz w:val="20"/>
          <w:szCs w:val="20"/>
        </w:rPr>
        <w:t xml:space="preserve"> opérée. </w:t>
      </w:r>
    </w:p>
    <w:p w14:paraId="3EF37206" w14:textId="77777777" w:rsidR="0014323C" w:rsidRDefault="0014323C" w:rsidP="009268A5">
      <w:pPr>
        <w:jc w:val="center"/>
        <w:rPr>
          <w:b/>
        </w:rPr>
      </w:pPr>
      <w:r>
        <w:rPr>
          <w:b/>
        </w:rPr>
        <w:t xml:space="preserve">GROUPAGE : Bien coder </w:t>
      </w:r>
      <w:r w:rsidRPr="009268A5">
        <w:rPr>
          <w:b/>
          <w:u w:val="single"/>
        </w:rPr>
        <w:t>tous</w:t>
      </w:r>
      <w:r>
        <w:rPr>
          <w:b/>
        </w:rPr>
        <w:t xml:space="preserve"> les traumatismes afin d’accéder à la CMD 26</w:t>
      </w:r>
    </w:p>
    <w:p w14:paraId="1C6A1DE2" w14:textId="77777777" w:rsidR="0014323C" w:rsidRDefault="0014323C" w:rsidP="0014323C">
      <w:pPr>
        <w:rPr>
          <w:b/>
        </w:rPr>
      </w:pPr>
      <w:r w:rsidRPr="00D36ECF">
        <w:rPr>
          <w:b/>
        </w:rPr>
        <w:t>26C022 - Interventions pour traumatismes multiples graves, niveau 2</w:t>
      </w:r>
    </w:p>
    <w:p w14:paraId="2E092871" w14:textId="77777777" w:rsidR="0083090F" w:rsidRDefault="0083090F" w:rsidP="0014323C">
      <w:pPr>
        <w:rPr>
          <w:b/>
        </w:rPr>
      </w:pPr>
      <w:r>
        <w:rPr>
          <w:b/>
        </w:rPr>
        <w:t xml:space="preserve">Voir dans le DPI si info supplémentaires permettant de coder un F05 à la place </w:t>
      </w:r>
      <w:proofErr w:type="gramStart"/>
      <w:r>
        <w:rPr>
          <w:b/>
        </w:rPr>
        <w:t>du  R</w:t>
      </w:r>
      <w:proofErr w:type="gramEnd"/>
      <w:r>
        <w:rPr>
          <w:b/>
        </w:rPr>
        <w:t>41 .0</w:t>
      </w:r>
    </w:p>
    <w:p w14:paraId="30613983" w14:textId="77777777" w:rsidR="005C140E" w:rsidRPr="00D36ECF" w:rsidRDefault="005C140E" w:rsidP="005C140E">
      <w:pPr>
        <w:autoSpaceDE w:val="0"/>
        <w:autoSpaceDN w:val="0"/>
        <w:adjustRightInd w:val="0"/>
        <w:spacing w:after="0" w:line="240" w:lineRule="auto"/>
        <w:rPr>
          <w:b/>
        </w:rPr>
      </w:pPr>
      <w:proofErr w:type="spellStart"/>
      <w:r>
        <w:rPr>
          <w:rFonts w:ascii="SegoeUI-Light" w:hAnsi="SegoeUI-Light" w:cs="SegoeUI-Light"/>
          <w:sz w:val="18"/>
          <w:szCs w:val="18"/>
          <w:lang w:eastAsia="fr-FR"/>
        </w:rPr>
        <w:t>Leucoaraïose</w:t>
      </w:r>
      <w:proofErr w:type="spellEnd"/>
      <w:r>
        <w:rPr>
          <w:rFonts w:ascii="SegoeUI-Light" w:hAnsi="SegoeUI-Light" w:cs="SegoeUI-Light"/>
          <w:sz w:val="18"/>
          <w:szCs w:val="18"/>
          <w:lang w:eastAsia="fr-FR"/>
        </w:rPr>
        <w:t xml:space="preserve"> - cette affection est une atteinte du système nerveux d'origine vasculaire, provoquant généralement une démence. Son codage précis (selon les conclusions diagnostiques du clinicien) associe G37.8, I67.8 ou I67.3 selon les précisions sur le mécanisme vasculaire et un code de démence vasculaire si elle est présente (F01.-). Si ce terme ne correspond qu'à un résultat anormal d'imagerie on emploie alors R90.0. (</w:t>
      </w:r>
      <w:r>
        <w:rPr>
          <w:rFonts w:ascii="SegoeUI-LightItalic" w:hAnsi="SegoeUI-LightItalic" w:cs="SegoeUI-LightItalic"/>
          <w:i/>
          <w:iCs/>
          <w:sz w:val="18"/>
          <w:szCs w:val="18"/>
          <w:lang w:eastAsia="fr-FR"/>
        </w:rPr>
        <w:t xml:space="preserve">AGORA - Laurence </w:t>
      </w:r>
      <w:proofErr w:type="spellStart"/>
      <w:r>
        <w:rPr>
          <w:rFonts w:ascii="SegoeUI-LightItalic" w:hAnsi="SegoeUI-LightItalic" w:cs="SegoeUI-LightItalic"/>
          <w:i/>
          <w:iCs/>
          <w:sz w:val="18"/>
          <w:szCs w:val="18"/>
          <w:lang w:eastAsia="fr-FR"/>
        </w:rPr>
        <w:t>Durif</w:t>
      </w:r>
      <w:proofErr w:type="spellEnd"/>
      <w:r>
        <w:rPr>
          <w:rFonts w:ascii="SegoeUI-LightItalic" w:hAnsi="SegoeUI-LightItalic" w:cs="SegoeUI-LightItalic"/>
          <w:i/>
          <w:iCs/>
          <w:sz w:val="18"/>
          <w:szCs w:val="18"/>
          <w:lang w:eastAsia="fr-FR"/>
        </w:rPr>
        <w:t xml:space="preserve"> le 21 décembre 2010</w:t>
      </w:r>
      <w:r>
        <w:rPr>
          <w:rFonts w:ascii="SegoeUI-Light" w:hAnsi="SegoeUI-Light" w:cs="SegoeUI-Light"/>
          <w:sz w:val="18"/>
          <w:szCs w:val="18"/>
          <w:lang w:eastAsia="fr-FR"/>
        </w:rPr>
        <w:t>)</w:t>
      </w:r>
    </w:p>
    <w:p w14:paraId="1CE834DA" w14:textId="77777777" w:rsidR="007B2C44" w:rsidRDefault="007B2C44" w:rsidP="007B1F81"/>
    <w:sectPr w:rsidR="007B2C44">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E71DE9" w14:textId="77777777" w:rsidR="00E66385" w:rsidRDefault="00E66385" w:rsidP="00C35B2B">
      <w:pPr>
        <w:spacing w:after="0" w:line="240" w:lineRule="auto"/>
      </w:pPr>
      <w:r>
        <w:separator/>
      </w:r>
    </w:p>
  </w:endnote>
  <w:endnote w:type="continuationSeparator" w:id="0">
    <w:p w14:paraId="15080AD4" w14:textId="77777777" w:rsidR="00E66385" w:rsidRDefault="00E66385" w:rsidP="00C35B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UI-Light">
    <w:altName w:val="Segoe UI"/>
    <w:panose1 w:val="00000000000000000000"/>
    <w:charset w:val="00"/>
    <w:family w:val="swiss"/>
    <w:notTrueType/>
    <w:pitch w:val="default"/>
    <w:sig w:usb0="00000003" w:usb1="00000000" w:usb2="00000000" w:usb3="00000000" w:csb0="00000001" w:csb1="00000000"/>
  </w:font>
  <w:font w:name="SegoeUI-LightItalic">
    <w:altName w:val="Segoe U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B6D08F" w14:textId="77777777" w:rsidR="000D4F09" w:rsidRDefault="000D4F0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5CEA70" w14:textId="77777777" w:rsidR="000D4F09" w:rsidRDefault="000D4F09">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1389B3" w14:textId="77777777" w:rsidR="000D4F09" w:rsidRDefault="000D4F0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789888" w14:textId="77777777" w:rsidR="00E66385" w:rsidRDefault="00E66385" w:rsidP="00C35B2B">
      <w:pPr>
        <w:spacing w:after="0" w:line="240" w:lineRule="auto"/>
      </w:pPr>
      <w:r>
        <w:separator/>
      </w:r>
    </w:p>
  </w:footnote>
  <w:footnote w:type="continuationSeparator" w:id="0">
    <w:p w14:paraId="63B881BE" w14:textId="77777777" w:rsidR="00E66385" w:rsidRDefault="00E66385" w:rsidP="00C35B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D70AEE" w14:textId="77777777" w:rsidR="000D4F09" w:rsidRDefault="000D4F0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Listemoyenne2-Accent1"/>
      <w:tblW w:w="0" w:type="auto"/>
      <w:tblBorders>
        <w:top w:val="single" w:sz="24" w:space="0" w:color="4F81BD" w:themeColor="accent1"/>
        <w:left w:val="single" w:sz="24" w:space="0" w:color="4F81BD" w:themeColor="accent1"/>
        <w:bottom w:val="single" w:sz="24" w:space="0" w:color="4F81BD" w:themeColor="accent1"/>
        <w:right w:val="single" w:sz="24" w:space="0" w:color="4F81BD" w:themeColor="accent1"/>
        <w:insideH w:val="single" w:sz="24" w:space="0" w:color="4F81BD" w:themeColor="accent1"/>
        <w:insideV w:val="single" w:sz="24" w:space="0" w:color="4F81BD" w:themeColor="accent1"/>
      </w:tblBorders>
      <w:tblLook w:val="04A0" w:firstRow="1" w:lastRow="0" w:firstColumn="1" w:lastColumn="0" w:noHBand="0" w:noVBand="1"/>
    </w:tblPr>
    <w:tblGrid>
      <w:gridCol w:w="2261"/>
      <w:gridCol w:w="5314"/>
      <w:gridCol w:w="1713"/>
    </w:tblGrid>
    <w:tr w:rsidR="00C35B2B" w14:paraId="1705C01A" w14:textId="77777777" w:rsidTr="00C35B2B">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376" w:type="dxa"/>
          <w:tcBorders>
            <w:top w:val="none" w:sz="0" w:space="0" w:color="auto"/>
            <w:left w:val="none" w:sz="0" w:space="0" w:color="auto"/>
            <w:bottom w:val="none" w:sz="0" w:space="0" w:color="auto"/>
            <w:right w:val="none" w:sz="0" w:space="0" w:color="auto"/>
          </w:tcBorders>
        </w:tcPr>
        <w:p w14:paraId="09FD20C9" w14:textId="641D7363" w:rsidR="00C35B2B" w:rsidRPr="00C35B2B" w:rsidRDefault="00C35B2B" w:rsidP="00DA2F9B">
          <w:pPr>
            <w:pStyle w:val="En-tte"/>
            <w:jc w:val="center"/>
            <w:rPr>
              <w:b/>
            </w:rPr>
          </w:pPr>
        </w:p>
      </w:tc>
      <w:tc>
        <w:tcPr>
          <w:tcW w:w="5529" w:type="dxa"/>
          <w:tcBorders>
            <w:top w:val="none" w:sz="0" w:space="0" w:color="auto"/>
            <w:left w:val="none" w:sz="0" w:space="0" w:color="auto"/>
            <w:bottom w:val="none" w:sz="0" w:space="0" w:color="auto"/>
            <w:right w:val="none" w:sz="0" w:space="0" w:color="auto"/>
          </w:tcBorders>
        </w:tcPr>
        <w:p w14:paraId="4EDF672E" w14:textId="77777777" w:rsidR="00C35B2B" w:rsidRPr="00C35B2B" w:rsidRDefault="00C35B2B" w:rsidP="00D10010">
          <w:pPr>
            <w:pStyle w:val="En-tte"/>
            <w:jc w:val="center"/>
            <w:cnfStyle w:val="100000000000" w:firstRow="1" w:lastRow="0" w:firstColumn="0" w:lastColumn="0" w:oddVBand="0" w:evenVBand="0" w:oddHBand="0" w:evenHBand="0" w:firstRowFirstColumn="0" w:firstRowLastColumn="0" w:lastRowFirstColumn="0" w:lastRowLastColumn="0"/>
            <w:rPr>
              <w:b/>
            </w:rPr>
          </w:pPr>
          <w:r>
            <w:rPr>
              <w:b/>
            </w:rPr>
            <w:t xml:space="preserve">FORMATION AU CODAGE PMSI </w:t>
          </w:r>
          <w:r w:rsidR="005F257E">
            <w:rPr>
              <w:b/>
            </w:rPr>
            <w:t>20</w:t>
          </w:r>
          <w:r w:rsidR="00D10010">
            <w:rPr>
              <w:b/>
            </w:rPr>
            <w:t>2</w:t>
          </w:r>
          <w:r w:rsidR="005F257E">
            <w:rPr>
              <w:b/>
            </w:rPr>
            <w:t>1</w:t>
          </w:r>
          <w:r w:rsidR="00D10010">
            <w:rPr>
              <w:b/>
            </w:rPr>
            <w:t>-2022</w:t>
          </w:r>
        </w:p>
      </w:tc>
      <w:tc>
        <w:tcPr>
          <w:tcW w:w="1307" w:type="dxa"/>
          <w:tcBorders>
            <w:top w:val="none" w:sz="0" w:space="0" w:color="auto"/>
            <w:left w:val="none" w:sz="0" w:space="0" w:color="auto"/>
            <w:bottom w:val="none" w:sz="0" w:space="0" w:color="auto"/>
            <w:right w:val="none" w:sz="0" w:space="0" w:color="auto"/>
          </w:tcBorders>
        </w:tcPr>
        <w:p w14:paraId="6B863756" w14:textId="77777777" w:rsidR="00C35B2B" w:rsidRPr="00B8227E" w:rsidRDefault="00DA2F9B" w:rsidP="00DA2F9B">
          <w:pPr>
            <w:pStyle w:val="En-tte"/>
            <w:jc w:val="center"/>
            <w:cnfStyle w:val="100000000000" w:firstRow="1" w:lastRow="0" w:firstColumn="0" w:lastColumn="0" w:oddVBand="0" w:evenVBand="0" w:oddHBand="0" w:evenHBand="0" w:firstRowFirstColumn="0" w:firstRowLastColumn="0" w:lastRowFirstColumn="0" w:lastRowLastColumn="0"/>
            <w:rPr>
              <w:b/>
            </w:rPr>
          </w:pPr>
          <w:r>
            <w:rPr>
              <w:b/>
            </w:rPr>
            <w:t>NB</w:t>
          </w:r>
          <w:r w:rsidR="009C615D">
            <w:rPr>
              <w:b/>
            </w:rPr>
            <w:t xml:space="preserve"> - FP</w:t>
          </w:r>
        </w:p>
      </w:tc>
    </w:tr>
    <w:tr w:rsidR="00C35B2B" w14:paraId="0A02AFCF" w14:textId="77777777" w:rsidTr="00C35B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tcBorders>
            <w:top w:val="none" w:sz="0" w:space="0" w:color="auto"/>
            <w:left w:val="none" w:sz="0" w:space="0" w:color="auto"/>
            <w:bottom w:val="none" w:sz="0" w:space="0" w:color="auto"/>
            <w:right w:val="none" w:sz="0" w:space="0" w:color="auto"/>
          </w:tcBorders>
        </w:tcPr>
        <w:p w14:paraId="52A7619D" w14:textId="77777777" w:rsidR="00C35B2B" w:rsidRDefault="00C35B2B" w:rsidP="00A91A8C">
          <w:pPr>
            <w:pStyle w:val="En-tte"/>
            <w:jc w:val="center"/>
          </w:pPr>
        </w:p>
      </w:tc>
      <w:tc>
        <w:tcPr>
          <w:tcW w:w="5529" w:type="dxa"/>
          <w:tcBorders>
            <w:top w:val="none" w:sz="0" w:space="0" w:color="auto"/>
            <w:left w:val="none" w:sz="0" w:space="0" w:color="auto"/>
            <w:bottom w:val="none" w:sz="0" w:space="0" w:color="auto"/>
            <w:right w:val="none" w:sz="0" w:space="0" w:color="auto"/>
          </w:tcBorders>
        </w:tcPr>
        <w:p w14:paraId="7A589867" w14:textId="77777777" w:rsidR="00C35B2B" w:rsidRDefault="00C35B2B" w:rsidP="00C35B2B">
          <w:pPr>
            <w:pStyle w:val="En-tte"/>
            <w:jc w:val="center"/>
            <w:cnfStyle w:val="000000100000" w:firstRow="0" w:lastRow="0" w:firstColumn="0" w:lastColumn="0" w:oddVBand="0" w:evenVBand="0" w:oddHBand="1" w:evenHBand="0" w:firstRowFirstColumn="0" w:firstRowLastColumn="0" w:lastRowFirstColumn="0" w:lastRowLastColumn="0"/>
          </w:pPr>
          <w:r w:rsidRPr="00C35B2B">
            <w:rPr>
              <w:b/>
            </w:rPr>
            <w:t xml:space="preserve">EXERCICE </w:t>
          </w:r>
          <w:r>
            <w:rPr>
              <w:b/>
            </w:rPr>
            <w:t>PRATIQUE</w:t>
          </w:r>
        </w:p>
      </w:tc>
      <w:tc>
        <w:tcPr>
          <w:tcW w:w="1307" w:type="dxa"/>
          <w:tcBorders>
            <w:top w:val="none" w:sz="0" w:space="0" w:color="auto"/>
            <w:left w:val="none" w:sz="0" w:space="0" w:color="auto"/>
            <w:bottom w:val="none" w:sz="0" w:space="0" w:color="auto"/>
          </w:tcBorders>
        </w:tcPr>
        <w:p w14:paraId="33DB957D" w14:textId="77777777" w:rsidR="007A3296" w:rsidRDefault="007C31B9" w:rsidP="00162D3B">
          <w:pPr>
            <w:pStyle w:val="En-tte"/>
            <w:cnfStyle w:val="000000100000" w:firstRow="0" w:lastRow="0" w:firstColumn="0" w:lastColumn="0" w:oddVBand="0" w:evenVBand="0" w:oddHBand="1" w:evenHBand="0" w:firstRowFirstColumn="0" w:firstRowLastColumn="0" w:lastRowFirstColumn="0" w:lastRowLastColumn="0"/>
          </w:pPr>
          <w:r>
            <w:rPr>
              <w:b/>
              <w:color w:val="FF0000"/>
            </w:rPr>
            <w:t>LOCO</w:t>
          </w:r>
          <w:r w:rsidR="00162D3B">
            <w:rPr>
              <w:b/>
              <w:color w:val="FF0000"/>
            </w:rPr>
            <w:t>5</w:t>
          </w:r>
          <w:r w:rsidR="007B1F81">
            <w:rPr>
              <w:b/>
              <w:color w:val="FF0000"/>
            </w:rPr>
            <w:t>_corrigé</w:t>
          </w:r>
        </w:p>
      </w:tc>
    </w:tr>
  </w:tbl>
  <w:p w14:paraId="241F520C" w14:textId="77777777" w:rsidR="00C35B2B" w:rsidRDefault="00C35B2B">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63AA37" w14:textId="77777777" w:rsidR="000D4F09" w:rsidRDefault="000D4F0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FF51B4"/>
    <w:multiLevelType w:val="hybridMultilevel"/>
    <w:tmpl w:val="0C6247FC"/>
    <w:lvl w:ilvl="0" w:tplc="B720F2E6">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 w15:restartNumberingAfterBreak="0">
    <w:nsid w:val="2B307ECB"/>
    <w:multiLevelType w:val="hybridMultilevel"/>
    <w:tmpl w:val="49E2F612"/>
    <w:lvl w:ilvl="0" w:tplc="A1DC0612">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2" w15:restartNumberingAfterBreak="0">
    <w:nsid w:val="36826851"/>
    <w:multiLevelType w:val="hybridMultilevel"/>
    <w:tmpl w:val="CD8AE1A0"/>
    <w:lvl w:ilvl="0" w:tplc="EA3A55AA">
      <w:numFmt w:val="bullet"/>
      <w:lvlText w:val=""/>
      <w:lvlJc w:val="left"/>
      <w:pPr>
        <w:ind w:left="1080" w:hanging="360"/>
      </w:pPr>
      <w:rPr>
        <w:rFonts w:ascii="Wingdings" w:eastAsia="Times New Roman" w:hAnsi="Wingdings" w:cs="Aria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 w15:restartNumberingAfterBreak="0">
    <w:nsid w:val="44547EEF"/>
    <w:multiLevelType w:val="hybridMultilevel"/>
    <w:tmpl w:val="C534F640"/>
    <w:lvl w:ilvl="0" w:tplc="040C0001">
      <w:start w:val="1"/>
      <w:numFmt w:val="bullet"/>
      <w:lvlText w:val=""/>
      <w:lvlJc w:val="left"/>
      <w:pPr>
        <w:tabs>
          <w:tab w:val="num" w:pos="1080"/>
        </w:tabs>
        <w:ind w:left="108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num w:numId="1" w16cid:durableId="173959637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13825854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8562095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130635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35B2B"/>
    <w:rsid w:val="00003F63"/>
    <w:rsid w:val="00044254"/>
    <w:rsid w:val="000A4F08"/>
    <w:rsid w:val="000B57F9"/>
    <w:rsid w:val="000D4F09"/>
    <w:rsid w:val="0014323C"/>
    <w:rsid w:val="00162346"/>
    <w:rsid w:val="00162D3B"/>
    <w:rsid w:val="001B1A59"/>
    <w:rsid w:val="0024011D"/>
    <w:rsid w:val="00247C36"/>
    <w:rsid w:val="0026530D"/>
    <w:rsid w:val="002860FE"/>
    <w:rsid w:val="002913B0"/>
    <w:rsid w:val="004564D3"/>
    <w:rsid w:val="00463E3A"/>
    <w:rsid w:val="005076D4"/>
    <w:rsid w:val="00510E11"/>
    <w:rsid w:val="00575861"/>
    <w:rsid w:val="005C140E"/>
    <w:rsid w:val="005F257E"/>
    <w:rsid w:val="00601522"/>
    <w:rsid w:val="00702C19"/>
    <w:rsid w:val="00732195"/>
    <w:rsid w:val="00736633"/>
    <w:rsid w:val="00775B97"/>
    <w:rsid w:val="007910CB"/>
    <w:rsid w:val="007927EC"/>
    <w:rsid w:val="007A3296"/>
    <w:rsid w:val="007B1F81"/>
    <w:rsid w:val="007B2C44"/>
    <w:rsid w:val="007C0032"/>
    <w:rsid w:val="007C31B9"/>
    <w:rsid w:val="007F1C8A"/>
    <w:rsid w:val="0083090F"/>
    <w:rsid w:val="008904CD"/>
    <w:rsid w:val="009268A5"/>
    <w:rsid w:val="00953A48"/>
    <w:rsid w:val="009C615D"/>
    <w:rsid w:val="00A2113F"/>
    <w:rsid w:val="00A7463A"/>
    <w:rsid w:val="00A91A8C"/>
    <w:rsid w:val="00AF3FC3"/>
    <w:rsid w:val="00B16BF3"/>
    <w:rsid w:val="00B8227E"/>
    <w:rsid w:val="00BA7C0A"/>
    <w:rsid w:val="00C35B2B"/>
    <w:rsid w:val="00D10010"/>
    <w:rsid w:val="00DA2F9B"/>
    <w:rsid w:val="00DE1908"/>
    <w:rsid w:val="00DE6DCE"/>
    <w:rsid w:val="00E51A72"/>
    <w:rsid w:val="00E66385"/>
    <w:rsid w:val="00F02FDC"/>
    <w:rsid w:val="00F77770"/>
    <w:rsid w:val="00FC0302"/>
    <w:rsid w:val="00FC169A"/>
    <w:rsid w:val="00FD636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22C958"/>
  <w15:docId w15:val="{82A837FF-BA02-4997-9260-C6D164CA2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C35B2B"/>
    <w:pPr>
      <w:tabs>
        <w:tab w:val="center" w:pos="4536"/>
        <w:tab w:val="right" w:pos="9072"/>
      </w:tabs>
    </w:pPr>
  </w:style>
  <w:style w:type="character" w:customStyle="1" w:styleId="En-tteCar">
    <w:name w:val="En-tête Car"/>
    <w:basedOn w:val="Policepardfaut"/>
    <w:link w:val="En-tte"/>
    <w:uiPriority w:val="99"/>
    <w:rsid w:val="00C35B2B"/>
    <w:rPr>
      <w:sz w:val="22"/>
      <w:szCs w:val="22"/>
      <w:lang w:eastAsia="en-US"/>
    </w:rPr>
  </w:style>
  <w:style w:type="paragraph" w:styleId="Pieddepage">
    <w:name w:val="footer"/>
    <w:basedOn w:val="Normal"/>
    <w:link w:val="PieddepageCar"/>
    <w:uiPriority w:val="99"/>
    <w:unhideWhenUsed/>
    <w:rsid w:val="00C35B2B"/>
    <w:pPr>
      <w:tabs>
        <w:tab w:val="center" w:pos="4536"/>
        <w:tab w:val="right" w:pos="9072"/>
      </w:tabs>
    </w:pPr>
  </w:style>
  <w:style w:type="character" w:customStyle="1" w:styleId="PieddepageCar">
    <w:name w:val="Pied de page Car"/>
    <w:basedOn w:val="Policepardfaut"/>
    <w:link w:val="Pieddepage"/>
    <w:uiPriority w:val="99"/>
    <w:rsid w:val="00C35B2B"/>
    <w:rPr>
      <w:sz w:val="22"/>
      <w:szCs w:val="22"/>
      <w:lang w:eastAsia="en-US"/>
    </w:rPr>
  </w:style>
  <w:style w:type="table" w:styleId="Grilledutableau">
    <w:name w:val="Table Grid"/>
    <w:basedOn w:val="TableauNormal"/>
    <w:uiPriority w:val="59"/>
    <w:rsid w:val="00C35B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moyenne2-Accent1">
    <w:name w:val="Medium List 2 Accent 1"/>
    <w:basedOn w:val="TableauNormal"/>
    <w:uiPriority w:val="66"/>
    <w:rsid w:val="00C35B2B"/>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Textedebulles">
    <w:name w:val="Balloon Text"/>
    <w:basedOn w:val="Normal"/>
    <w:link w:val="TextedebullesCar"/>
    <w:uiPriority w:val="99"/>
    <w:semiHidden/>
    <w:unhideWhenUsed/>
    <w:rsid w:val="00DA2F9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A2F9B"/>
    <w:rPr>
      <w:rFonts w:ascii="Tahoma" w:hAnsi="Tahoma" w:cs="Tahoma"/>
      <w:sz w:val="16"/>
      <w:szCs w:val="16"/>
      <w:lang w:eastAsia="en-US"/>
    </w:rPr>
  </w:style>
  <w:style w:type="character" w:styleId="Accentuation">
    <w:name w:val="Emphasis"/>
    <w:qFormat/>
    <w:rsid w:val="007A3296"/>
    <w:rPr>
      <w:b/>
      <w:bCs/>
      <w:i w:val="0"/>
      <w:iCs w:val="0"/>
    </w:rPr>
  </w:style>
  <w:style w:type="character" w:customStyle="1" w:styleId="En-tteCar1">
    <w:name w:val="En-tête Car1"/>
    <w:locked/>
    <w:rsid w:val="007A3296"/>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801461">
      <w:bodyDiv w:val="1"/>
      <w:marLeft w:val="0"/>
      <w:marRight w:val="0"/>
      <w:marTop w:val="0"/>
      <w:marBottom w:val="0"/>
      <w:divBdr>
        <w:top w:val="none" w:sz="0" w:space="0" w:color="auto"/>
        <w:left w:val="none" w:sz="0" w:space="0" w:color="auto"/>
        <w:bottom w:val="none" w:sz="0" w:space="0" w:color="auto"/>
        <w:right w:val="none" w:sz="0" w:space="0" w:color="auto"/>
      </w:divBdr>
    </w:div>
    <w:div w:id="518541274">
      <w:bodyDiv w:val="1"/>
      <w:marLeft w:val="0"/>
      <w:marRight w:val="0"/>
      <w:marTop w:val="0"/>
      <w:marBottom w:val="0"/>
      <w:divBdr>
        <w:top w:val="none" w:sz="0" w:space="0" w:color="auto"/>
        <w:left w:val="none" w:sz="0" w:space="0" w:color="auto"/>
        <w:bottom w:val="none" w:sz="0" w:space="0" w:color="auto"/>
        <w:right w:val="none" w:sz="0" w:space="0" w:color="auto"/>
      </w:divBdr>
    </w:div>
    <w:div w:id="984966097">
      <w:bodyDiv w:val="1"/>
      <w:marLeft w:val="0"/>
      <w:marRight w:val="0"/>
      <w:marTop w:val="0"/>
      <w:marBottom w:val="0"/>
      <w:divBdr>
        <w:top w:val="none" w:sz="0" w:space="0" w:color="auto"/>
        <w:left w:val="none" w:sz="0" w:space="0" w:color="auto"/>
        <w:bottom w:val="none" w:sz="0" w:space="0" w:color="auto"/>
        <w:right w:val="none" w:sz="0" w:space="0" w:color="auto"/>
      </w:divBdr>
    </w:div>
    <w:div w:id="1503663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58EE82-ED02-419A-B12C-BE2DEFEAE2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235</Words>
  <Characters>1296</Characters>
  <Application>Microsoft Office Word</Application>
  <DocSecurity>0</DocSecurity>
  <Lines>10</Lines>
  <Paragraphs>3</Paragraphs>
  <ScaleCrop>false</ScaleCrop>
  <HeadingPairs>
    <vt:vector size="2" baseType="variant">
      <vt:variant>
        <vt:lpstr>Titre</vt:lpstr>
      </vt:variant>
      <vt:variant>
        <vt:i4>1</vt:i4>
      </vt:variant>
    </vt:vector>
  </HeadingPairs>
  <TitlesOfParts>
    <vt:vector size="1" baseType="lpstr">
      <vt:lpstr/>
    </vt:vector>
  </TitlesOfParts>
  <Company>CHU de Nice</Company>
  <LinksUpToDate>false</LinksUpToDate>
  <CharactersWithSpaces>1528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BLOQUET NATHALIE CHU Nice</dc:creator>
  <cp:lastModifiedBy>nathalie bloquet</cp:lastModifiedBy>
  <cp:revision>15</cp:revision>
  <cp:lastPrinted>2015-09-09T16:36:00Z</cp:lastPrinted>
  <dcterms:created xsi:type="dcterms:W3CDTF">2018-08-07T16:06:00Z</dcterms:created>
  <dcterms:modified xsi:type="dcterms:W3CDTF">2024-10-26T13:24:00Z</dcterms:modified>
</cp:coreProperties>
</file>