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A89A4" w14:textId="77777777" w:rsidR="00805A05" w:rsidRPr="00045605" w:rsidRDefault="00E63426" w:rsidP="00CF2B70">
      <w:pPr>
        <w:spacing w:after="0" w:line="240" w:lineRule="auto"/>
        <w:rPr>
          <w:i/>
        </w:rPr>
      </w:pPr>
      <w:r w:rsidRPr="00045605">
        <w:rPr>
          <w:i/>
        </w:rPr>
        <w:t xml:space="preserve">Pour chaque résumé de </w:t>
      </w:r>
      <w:r w:rsidR="006F185C">
        <w:rPr>
          <w:i/>
        </w:rPr>
        <w:t>compte-rendu d’hospitalisation,</w:t>
      </w:r>
      <w:r w:rsidRPr="00045605">
        <w:rPr>
          <w:i/>
        </w:rPr>
        <w:t xml:space="preserve"> il convient de trouver :</w:t>
      </w:r>
    </w:p>
    <w:p w14:paraId="133F3A10" w14:textId="77777777" w:rsidR="002B7319" w:rsidRPr="007E5E97" w:rsidRDefault="002B7319" w:rsidP="002B7319">
      <w:pPr>
        <w:spacing w:after="0" w:line="240" w:lineRule="auto"/>
        <w:rPr>
          <w:i/>
          <w:color w:val="FF0000"/>
        </w:rPr>
      </w:pPr>
      <w:r w:rsidRPr="007E5E97">
        <w:rPr>
          <w:i/>
          <w:color w:val="FF0000"/>
        </w:rPr>
        <w:t>LA REGLE DE CODAGE</w:t>
      </w:r>
    </w:p>
    <w:p w14:paraId="7BA33759" w14:textId="77777777" w:rsidR="00E63426" w:rsidRPr="00045605" w:rsidRDefault="00E63426" w:rsidP="00CF2B70">
      <w:pPr>
        <w:spacing w:after="0" w:line="240" w:lineRule="auto"/>
        <w:rPr>
          <w:i/>
        </w:rPr>
      </w:pPr>
      <w:r w:rsidRPr="00045605">
        <w:rPr>
          <w:i/>
        </w:rPr>
        <w:t xml:space="preserve">Le code et le libellé du </w:t>
      </w:r>
      <w:r w:rsidR="007E5E97" w:rsidRPr="007E5E97">
        <w:rPr>
          <w:b/>
          <w:i/>
        </w:rPr>
        <w:t>D</w:t>
      </w:r>
      <w:r w:rsidRPr="00045605">
        <w:rPr>
          <w:i/>
        </w:rPr>
        <w:t xml:space="preserve">iagnostic </w:t>
      </w:r>
      <w:r w:rsidR="007E5E97" w:rsidRPr="007E5E97">
        <w:rPr>
          <w:b/>
          <w:i/>
        </w:rPr>
        <w:t>P</w:t>
      </w:r>
      <w:r w:rsidRPr="00045605">
        <w:rPr>
          <w:i/>
        </w:rPr>
        <w:t>rincipal</w:t>
      </w:r>
    </w:p>
    <w:p w14:paraId="3F8F52BC" w14:textId="77777777" w:rsidR="00E63426" w:rsidRPr="00045605" w:rsidRDefault="00E63426" w:rsidP="00CF2B70">
      <w:pPr>
        <w:spacing w:after="0" w:line="240" w:lineRule="auto"/>
        <w:rPr>
          <w:i/>
        </w:rPr>
      </w:pPr>
      <w:r w:rsidRPr="00045605">
        <w:rPr>
          <w:i/>
        </w:rPr>
        <w:t xml:space="preserve">Eventuellement le code et le libellé du </w:t>
      </w:r>
      <w:r w:rsidR="007E5E97" w:rsidRPr="007E5E97">
        <w:rPr>
          <w:b/>
          <w:i/>
        </w:rPr>
        <w:t>D</w:t>
      </w:r>
      <w:r w:rsidRPr="00045605">
        <w:rPr>
          <w:i/>
        </w:rPr>
        <w:t xml:space="preserve">iagnostic </w:t>
      </w:r>
      <w:r w:rsidR="007E5E97" w:rsidRPr="007E5E97">
        <w:rPr>
          <w:b/>
          <w:i/>
        </w:rPr>
        <w:t>R</w:t>
      </w:r>
      <w:r w:rsidRPr="00045605">
        <w:rPr>
          <w:i/>
        </w:rPr>
        <w:t xml:space="preserve">elié </w:t>
      </w:r>
    </w:p>
    <w:p w14:paraId="7865C472" w14:textId="77777777" w:rsidR="00E63426" w:rsidRDefault="00E63426" w:rsidP="00CF2B70">
      <w:pPr>
        <w:spacing w:after="0" w:line="240" w:lineRule="auto"/>
        <w:rPr>
          <w:i/>
        </w:rPr>
      </w:pPr>
      <w:r w:rsidRPr="00045605">
        <w:rPr>
          <w:i/>
        </w:rPr>
        <w:t xml:space="preserve">Eventuellement le(s) code(s) de </w:t>
      </w:r>
      <w:r w:rsidR="007E5E97" w:rsidRPr="007E5E97">
        <w:rPr>
          <w:b/>
          <w:i/>
        </w:rPr>
        <w:t>D</w:t>
      </w:r>
      <w:r w:rsidRPr="00045605">
        <w:rPr>
          <w:i/>
        </w:rPr>
        <w:t xml:space="preserve">iagnostic(s) </w:t>
      </w:r>
      <w:r w:rsidR="007E5E97" w:rsidRPr="007E5E97">
        <w:rPr>
          <w:b/>
          <w:i/>
        </w:rPr>
        <w:t>A</w:t>
      </w:r>
      <w:r w:rsidRPr="00045605">
        <w:rPr>
          <w:i/>
        </w:rPr>
        <w:t xml:space="preserve">ssocié(s) </w:t>
      </w:r>
      <w:r w:rsidR="007E5E97" w:rsidRPr="007E5E97">
        <w:rPr>
          <w:b/>
          <w:i/>
        </w:rPr>
        <w:t>S</w:t>
      </w:r>
      <w:r w:rsidR="007E5E97">
        <w:rPr>
          <w:i/>
        </w:rPr>
        <w:t>ignificatif(s)</w:t>
      </w:r>
      <w:r w:rsidRPr="00045605">
        <w:rPr>
          <w:i/>
        </w:rPr>
        <w:t xml:space="preserve"> </w:t>
      </w:r>
    </w:p>
    <w:p w14:paraId="732E348F" w14:textId="77777777" w:rsidR="002168EE" w:rsidRDefault="002168EE" w:rsidP="00E63426"/>
    <w:p w14:paraId="4EA3488F" w14:textId="77777777" w:rsidR="009B346B" w:rsidRPr="009B346B" w:rsidRDefault="00045605" w:rsidP="009B346B">
      <w:pPr>
        <w:pStyle w:val="Paragraphedeliste"/>
        <w:numPr>
          <w:ilvl w:val="0"/>
          <w:numId w:val="7"/>
        </w:numPr>
        <w:rPr>
          <w:color w:val="FF0000"/>
        </w:rPr>
      </w:pPr>
      <w:r>
        <w:t>Patient ayant chuté accidentellement sur la voie publique, hospitalisé pour une fracture du col fémoral.</w:t>
      </w:r>
      <w:r w:rsidR="002920B7">
        <w:t xml:space="preserve"> La fracture est ostéosynthésée.</w:t>
      </w:r>
      <w:r w:rsidR="00056F1E">
        <w:br/>
      </w:r>
      <w:r w:rsidR="009B346B" w:rsidRPr="009B346B">
        <w:rPr>
          <w:b/>
          <w:color w:val="FF0000"/>
        </w:rPr>
        <w:t>Règle T3</w:t>
      </w:r>
      <w:r w:rsidR="009B346B" w:rsidRPr="009B346B">
        <w:rPr>
          <w:color w:val="FF0000"/>
        </w:rPr>
        <w:t> : traitement unique</w:t>
      </w:r>
      <w:r w:rsidR="00B86328">
        <w:rPr>
          <w:color w:val="FF0000"/>
        </w:rPr>
        <w:t xml:space="preserve"> chirurgical</w:t>
      </w:r>
    </w:p>
    <w:p w14:paraId="69238477" w14:textId="77777777" w:rsidR="009B346B" w:rsidRDefault="009B346B" w:rsidP="009B346B">
      <w:pPr>
        <w:spacing w:after="0" w:line="240" w:lineRule="auto"/>
      </w:pPr>
      <w:r w:rsidRPr="009B346B">
        <w:rPr>
          <w:b/>
        </w:rPr>
        <w:t>DP :</w:t>
      </w:r>
      <w:r>
        <w:t xml:space="preserve"> </w:t>
      </w:r>
      <w:r w:rsidRPr="009B346B">
        <w:t>S7200 Fracture fermée du col du fémur</w:t>
      </w:r>
    </w:p>
    <w:p w14:paraId="129DC65D" w14:textId="77777777" w:rsidR="009B346B" w:rsidRDefault="009B346B" w:rsidP="009B346B">
      <w:pPr>
        <w:spacing w:after="0" w:line="240" w:lineRule="auto"/>
      </w:pPr>
      <w:r>
        <w:t>(</w:t>
      </w:r>
      <w:r w:rsidR="007C157E">
        <w:t>Pour</w:t>
      </w:r>
      <w:r>
        <w:t xml:space="preserve"> les codes de fracture il faut impérativement avec le 5</w:t>
      </w:r>
      <w:r w:rsidRPr="009B346B">
        <w:rPr>
          <w:vertAlign w:val="superscript"/>
        </w:rPr>
        <w:t>ème</w:t>
      </w:r>
      <w:r>
        <w:t xml:space="preserve"> caractère, indiqu</w:t>
      </w:r>
      <w:r w:rsidR="006670CD">
        <w:t>er</w:t>
      </w:r>
      <w:r>
        <w:t xml:space="preserve"> la nature de la fracture ouverte (1) ou fermée (0).</w:t>
      </w:r>
    </w:p>
    <w:p w14:paraId="49CF9E4C" w14:textId="77777777" w:rsidR="0070062B" w:rsidRPr="0070062B" w:rsidRDefault="00C258BC" w:rsidP="009B346B">
      <w:pPr>
        <w:spacing w:after="0" w:line="240" w:lineRule="auto"/>
      </w:pPr>
      <w:r w:rsidRPr="00C258BC">
        <w:rPr>
          <w:b/>
        </w:rPr>
        <w:t>DAS</w:t>
      </w:r>
      <w:r>
        <w:t xml:space="preserve"> : </w:t>
      </w:r>
      <w:r w:rsidR="0070062B">
        <w:t xml:space="preserve">W01.49 </w:t>
      </w:r>
      <w:r w:rsidR="0070062B" w:rsidRPr="0070062B">
        <w:rPr>
          <w:rFonts w:ascii="Georgia-Bold" w:hAnsi="Georgia-Bold" w:cs="Georgia-Bold"/>
          <w:bCs/>
          <w:lang w:eastAsia="fr-FR"/>
        </w:rPr>
        <w:t>Chute de plain-pied résultant de glissade, faux-pas et trébuchement</w:t>
      </w:r>
    </w:p>
    <w:p w14:paraId="3CF8B282" w14:textId="77777777" w:rsidR="009B346B" w:rsidRDefault="009B346B" w:rsidP="009B346B">
      <w:pPr>
        <w:spacing w:after="0" w:line="240" w:lineRule="auto"/>
      </w:pPr>
      <w:r>
        <w:t>En l’absence de précision, on code la fracture fermée.</w:t>
      </w:r>
    </w:p>
    <w:p w14:paraId="2BE50A75" w14:textId="77777777" w:rsidR="009B346B" w:rsidRDefault="009B346B" w:rsidP="009B346B">
      <w:pPr>
        <w:spacing w:after="0" w:line="240" w:lineRule="auto"/>
      </w:pPr>
    </w:p>
    <w:p w14:paraId="0CCEED32" w14:textId="77777777" w:rsidR="009B346B" w:rsidRPr="009B346B" w:rsidRDefault="00045605" w:rsidP="009B346B">
      <w:pPr>
        <w:pStyle w:val="Paragraphedeliste"/>
        <w:numPr>
          <w:ilvl w:val="0"/>
          <w:numId w:val="7"/>
        </w:numPr>
        <w:rPr>
          <w:color w:val="FF0000"/>
        </w:rPr>
      </w:pPr>
      <w:r>
        <w:t>Patient hospitalisé pour une luxation récidivante de l’épaule.</w:t>
      </w:r>
      <w:r w:rsidR="002920B7">
        <w:t xml:space="preserve"> </w:t>
      </w:r>
      <w:r w:rsidR="009B346B">
        <w:t xml:space="preserve">Réduction </w:t>
      </w:r>
      <w:r w:rsidR="00B86328">
        <w:t>de la luxation.</w:t>
      </w:r>
      <w:r w:rsidR="009B346B">
        <w:br/>
      </w:r>
      <w:r w:rsidR="009B346B" w:rsidRPr="009B346B">
        <w:rPr>
          <w:b/>
          <w:color w:val="FF0000"/>
        </w:rPr>
        <w:t>Règle T3</w:t>
      </w:r>
      <w:r w:rsidR="009B346B" w:rsidRPr="009B346B">
        <w:rPr>
          <w:color w:val="FF0000"/>
        </w:rPr>
        <w:t> : traitement unique</w:t>
      </w:r>
      <w:r w:rsidR="00570C4C">
        <w:rPr>
          <w:color w:val="FF0000"/>
        </w:rPr>
        <w:t xml:space="preserve"> </w:t>
      </w:r>
    </w:p>
    <w:p w14:paraId="796E3D99" w14:textId="77777777" w:rsidR="00045605" w:rsidRDefault="00B9422F" w:rsidP="009B346B">
      <w:r w:rsidRPr="00B9422F">
        <w:rPr>
          <w:b/>
        </w:rPr>
        <w:t>DP</w:t>
      </w:r>
      <w:r>
        <w:t xml:space="preserve"> : </w:t>
      </w:r>
      <w:r w:rsidRPr="00B9422F">
        <w:t>M2441 Luxation et subluxation articulaires récidivantes - Articulations acromio-claviculaire, scapulo-humérale, et sterno-claviculaire</w:t>
      </w:r>
      <w:r w:rsidR="009B346B">
        <w:br/>
      </w:r>
    </w:p>
    <w:p w14:paraId="153E1DC1" w14:textId="77777777" w:rsidR="00CC298F" w:rsidRPr="009B346B" w:rsidRDefault="00045605" w:rsidP="00CC298F">
      <w:pPr>
        <w:pStyle w:val="Paragraphedeliste"/>
        <w:numPr>
          <w:ilvl w:val="0"/>
          <w:numId w:val="7"/>
        </w:numPr>
        <w:rPr>
          <w:color w:val="FF0000"/>
        </w:rPr>
      </w:pPr>
      <w:r>
        <w:t>Patiente hospitalisée pour le traitement chirurgical d’une rupture de la coiffe des rotateurs.</w:t>
      </w:r>
      <w:r w:rsidR="00056F1E">
        <w:br/>
      </w:r>
      <w:r w:rsidR="00CC298F" w:rsidRPr="009B346B">
        <w:rPr>
          <w:b/>
          <w:color w:val="FF0000"/>
        </w:rPr>
        <w:t>Règle T3</w:t>
      </w:r>
      <w:r w:rsidR="00CC298F" w:rsidRPr="009B346B">
        <w:rPr>
          <w:color w:val="FF0000"/>
        </w:rPr>
        <w:t> : traitement unique</w:t>
      </w:r>
      <w:r w:rsidR="00570C4C">
        <w:rPr>
          <w:color w:val="FF0000"/>
        </w:rPr>
        <w:t xml:space="preserve"> chirurgical</w:t>
      </w:r>
    </w:p>
    <w:p w14:paraId="0B0842AB" w14:textId="77777777" w:rsidR="00045605" w:rsidRDefault="00CC298F" w:rsidP="00CC298F">
      <w:r w:rsidRPr="00CC298F">
        <w:rPr>
          <w:b/>
        </w:rPr>
        <w:t>DP :</w:t>
      </w:r>
      <w:r>
        <w:t xml:space="preserve"> </w:t>
      </w:r>
      <w:r w:rsidRPr="00CC298F">
        <w:t>M751 Syndrome de la coiffe des rotateurs</w:t>
      </w:r>
      <w:r>
        <w:br/>
      </w:r>
      <w:r w:rsidRPr="00253045">
        <w:rPr>
          <w:i/>
        </w:rPr>
        <w:t>J’utilise un code de la catégorie « M », si nous avions la notion d’une rupture liée à un traumatisme nous utiliserions un code de la catégorie « S »</w:t>
      </w:r>
      <w:r w:rsidRPr="00253045">
        <w:rPr>
          <w:i/>
        </w:rPr>
        <w:br/>
      </w:r>
    </w:p>
    <w:p w14:paraId="56F24D85" w14:textId="77777777" w:rsidR="00253045" w:rsidRPr="009B346B" w:rsidRDefault="00045605" w:rsidP="00253045">
      <w:pPr>
        <w:pStyle w:val="Paragraphedeliste"/>
        <w:numPr>
          <w:ilvl w:val="0"/>
          <w:numId w:val="7"/>
        </w:numPr>
        <w:rPr>
          <w:color w:val="FF0000"/>
        </w:rPr>
      </w:pPr>
      <w:r>
        <w:t>Patient ayant bénéficié il y a quelques mois d’une ostéosynthèse d’une fracture de l’</w:t>
      </w:r>
      <w:r w:rsidR="00111FD5">
        <w:t>humérus. Il présente des douleurs au niveau du matériel laissé en place, il est donc hospitalisé pour ablation du matériel.</w:t>
      </w:r>
      <w:r w:rsidR="00056F1E">
        <w:br/>
      </w:r>
      <w:r w:rsidR="00253045" w:rsidRPr="009B346B">
        <w:rPr>
          <w:b/>
          <w:color w:val="FF0000"/>
        </w:rPr>
        <w:t>Règle T3</w:t>
      </w:r>
      <w:r w:rsidR="00253045" w:rsidRPr="009B346B">
        <w:rPr>
          <w:color w:val="FF0000"/>
        </w:rPr>
        <w:t> : traitement unique</w:t>
      </w:r>
      <w:r w:rsidR="00570C4C">
        <w:rPr>
          <w:color w:val="FF0000"/>
        </w:rPr>
        <w:t xml:space="preserve"> chirurgical</w:t>
      </w:r>
    </w:p>
    <w:p w14:paraId="2894D863" w14:textId="77777777" w:rsidR="00BB6C5B" w:rsidRDefault="00253045" w:rsidP="00253045">
      <w:pPr>
        <w:rPr>
          <w:i/>
        </w:rPr>
      </w:pPr>
      <w:r w:rsidRPr="00253045">
        <w:rPr>
          <w:b/>
        </w:rPr>
        <w:t>DP </w:t>
      </w:r>
      <w:r>
        <w:t xml:space="preserve">: </w:t>
      </w:r>
      <w:r w:rsidRPr="00253045">
        <w:t xml:space="preserve">M7962 Douleur au niveau d'un membre </w:t>
      </w:r>
      <w:r w:rsidR="00E17D93">
        <w:t>–</w:t>
      </w:r>
      <w:r w:rsidRPr="00253045">
        <w:t xml:space="preserve"> Bras</w:t>
      </w:r>
      <w:r w:rsidR="00E17D93">
        <w:br/>
      </w:r>
      <w:r w:rsidR="00E17D93" w:rsidRPr="00E17D93">
        <w:rPr>
          <w:b/>
        </w:rPr>
        <w:t>DAS :</w:t>
      </w:r>
      <w:r w:rsidR="00E17D93">
        <w:t xml:space="preserve"> </w:t>
      </w:r>
      <w:r w:rsidR="00E17D93" w:rsidRPr="00E17D93">
        <w:t>Y831 Intervention chirurgicale avec implantation d'une prothèse interne à l'origine de réactions anormales du patient ou de complications ultérieures, sans mention d'accident au cours de l'intervention</w:t>
      </w:r>
      <w:r>
        <w:br/>
      </w:r>
      <w:r w:rsidRPr="00253045">
        <w:rPr>
          <w:i/>
        </w:rPr>
        <w:t xml:space="preserve">On ne recode pas la fracture initiale, qui </w:t>
      </w:r>
      <w:r w:rsidR="00BB6C5B">
        <w:rPr>
          <w:i/>
        </w:rPr>
        <w:t>est</w:t>
      </w:r>
      <w:r w:rsidRPr="00253045">
        <w:rPr>
          <w:i/>
        </w:rPr>
        <w:t xml:space="preserve"> guérie.</w:t>
      </w:r>
    </w:p>
    <w:p w14:paraId="713E051C" w14:textId="77777777" w:rsidR="003D679C" w:rsidRPr="003D679C" w:rsidRDefault="00111FD5" w:rsidP="00722750">
      <w:pPr>
        <w:pStyle w:val="Paragraphedeliste"/>
        <w:numPr>
          <w:ilvl w:val="0"/>
          <w:numId w:val="7"/>
        </w:numPr>
      </w:pPr>
      <w:r>
        <w:t>Patient hospitalisé pour l’ablation pré</w:t>
      </w:r>
      <w:r w:rsidR="002B7319">
        <w:t>vue de matériel d’ostéosynthèse</w:t>
      </w:r>
      <w:r w:rsidR="00CC298F">
        <w:t xml:space="preserve">, </w:t>
      </w:r>
      <w:r w:rsidR="002B7319">
        <w:t xml:space="preserve">à 6 mois </w:t>
      </w:r>
      <w:r>
        <w:t>d’une fracture du métacarpe.</w:t>
      </w:r>
      <w:r w:rsidR="00056F1E">
        <w:br/>
      </w:r>
      <w:r w:rsidR="003D679C" w:rsidRPr="00E17D93">
        <w:rPr>
          <w:b/>
          <w:color w:val="FF0000"/>
        </w:rPr>
        <w:t xml:space="preserve">Règle </w:t>
      </w:r>
      <w:r w:rsidR="00E17D93" w:rsidRPr="00E17D93">
        <w:rPr>
          <w:b/>
          <w:color w:val="FF0000"/>
        </w:rPr>
        <w:t>T7</w:t>
      </w:r>
      <w:r w:rsidR="00E17D93">
        <w:rPr>
          <w:color w:val="FF0000"/>
        </w:rPr>
        <w:t> : Prise en charge pour soins spécifiques</w:t>
      </w:r>
    </w:p>
    <w:p w14:paraId="7356F762" w14:textId="77777777" w:rsidR="003D679C" w:rsidRDefault="003D679C" w:rsidP="003D679C">
      <w:r w:rsidRPr="003D679C">
        <w:rPr>
          <w:b/>
        </w:rPr>
        <w:lastRenderedPageBreak/>
        <w:t>DP</w:t>
      </w:r>
      <w:r>
        <w:t xml:space="preserve"> : </w:t>
      </w:r>
      <w:r w:rsidRPr="003D679C">
        <w:t>Z470 Soins de contrôle impliquant l'enlèvement d'une plaque et autre prothèse interne (orthopédique) de fixation</w:t>
      </w:r>
    </w:p>
    <w:p w14:paraId="6A5D6050" w14:textId="77777777" w:rsidR="003D679C" w:rsidRDefault="003D679C" w:rsidP="003D679C">
      <w:r w:rsidRPr="00253045">
        <w:rPr>
          <w:i/>
        </w:rPr>
        <w:t xml:space="preserve">On ne recode pas la </w:t>
      </w:r>
      <w:r w:rsidR="005E0449">
        <w:rPr>
          <w:i/>
        </w:rPr>
        <w:t>fracture initiale, qui est</w:t>
      </w:r>
      <w:r w:rsidRPr="00253045">
        <w:rPr>
          <w:i/>
        </w:rPr>
        <w:t xml:space="preserve"> guérie.</w:t>
      </w:r>
      <w:r w:rsidRPr="00253045">
        <w:rPr>
          <w:i/>
        </w:rPr>
        <w:br/>
      </w:r>
    </w:p>
    <w:p w14:paraId="1B44C4B1" w14:textId="77777777" w:rsidR="007E5E97" w:rsidRPr="009B346B" w:rsidRDefault="00111FD5" w:rsidP="007E5E97">
      <w:pPr>
        <w:pStyle w:val="Paragraphedeliste"/>
        <w:numPr>
          <w:ilvl w:val="0"/>
          <w:numId w:val="7"/>
        </w:numPr>
        <w:rPr>
          <w:color w:val="FF0000"/>
        </w:rPr>
      </w:pPr>
      <w:r>
        <w:t xml:space="preserve">Patient ayant eu un accident de scooter, hospitalisé pour de multiples fractures, fracture du maxillaire inférieur, fracture de la clavicule, fracture </w:t>
      </w:r>
      <w:r w:rsidR="002168EE">
        <w:t xml:space="preserve">ouverte </w:t>
      </w:r>
      <w:r>
        <w:t>du plateau tibial. Il bénéficie d’une prise en charge chirurgicale de sa fracture du plateau tibial.</w:t>
      </w:r>
      <w:r w:rsidR="007E5E97">
        <w:br/>
      </w:r>
      <w:r w:rsidR="007E5E97" w:rsidRPr="009B346B">
        <w:rPr>
          <w:b/>
          <w:color w:val="FF0000"/>
        </w:rPr>
        <w:t>Règle T3</w:t>
      </w:r>
      <w:r w:rsidR="007E5E97" w:rsidRPr="009B346B">
        <w:rPr>
          <w:color w:val="FF0000"/>
        </w:rPr>
        <w:t> : traitement unique</w:t>
      </w:r>
      <w:r w:rsidR="00570C4C">
        <w:rPr>
          <w:color w:val="FF0000"/>
        </w:rPr>
        <w:t xml:space="preserve"> chirurgical</w:t>
      </w:r>
    </w:p>
    <w:p w14:paraId="383A75CB" w14:textId="77777777" w:rsidR="00DE166D" w:rsidRDefault="007E5E97" w:rsidP="007E5E97">
      <w:r w:rsidRPr="000F1CF8">
        <w:rPr>
          <w:b/>
        </w:rPr>
        <w:t>DP</w:t>
      </w:r>
      <w:r>
        <w:t xml:space="preserve"> : </w:t>
      </w:r>
      <w:r w:rsidR="002168EE" w:rsidRPr="002168EE">
        <w:t>S8211 Fracture ouverte de l'extrémité supérieure du tibia</w:t>
      </w:r>
      <w:r>
        <w:br/>
      </w:r>
      <w:r w:rsidR="002168EE" w:rsidRPr="000F1CF8">
        <w:rPr>
          <w:b/>
        </w:rPr>
        <w:t>DAS</w:t>
      </w:r>
      <w:r w:rsidR="002168EE">
        <w:t xml:space="preserve"> : </w:t>
      </w:r>
      <w:r w:rsidR="002168EE" w:rsidRPr="002168EE">
        <w:t>S0260 Fracture fermée du maxillaire inférieur</w:t>
      </w:r>
      <w:r>
        <w:br/>
      </w:r>
      <w:r w:rsidR="002168EE" w:rsidRPr="000F1CF8">
        <w:rPr>
          <w:b/>
        </w:rPr>
        <w:t>DAS</w:t>
      </w:r>
      <w:r w:rsidR="002168EE">
        <w:t xml:space="preserve"> : </w:t>
      </w:r>
      <w:r w:rsidR="000F1CF8" w:rsidRPr="000F1CF8">
        <w:t>S4200 Fracture fermée de la clavicule</w:t>
      </w:r>
      <w:r w:rsidR="00DE166D">
        <w:br/>
      </w:r>
      <w:r w:rsidR="00DE166D" w:rsidRPr="00DE166D">
        <w:rPr>
          <w:b/>
        </w:rPr>
        <w:t>DAS </w:t>
      </w:r>
      <w:r w:rsidR="00DE166D">
        <w:t xml:space="preserve">: </w:t>
      </w:r>
      <w:r w:rsidR="00DE166D" w:rsidRPr="00DE166D">
        <w:t>V29.9 Motocycliste [tout type] blessé dans un accident de la circulation, sans précision</w:t>
      </w:r>
    </w:p>
    <w:p w14:paraId="35C5CF21" w14:textId="77777777" w:rsidR="00111FD5" w:rsidRDefault="00056F1E" w:rsidP="007E5E97">
      <w:pPr>
        <w:rPr>
          <w:i/>
        </w:rPr>
      </w:pPr>
      <w:r>
        <w:br/>
      </w:r>
      <w:r w:rsidR="000F1CF8" w:rsidRPr="000F1CF8">
        <w:rPr>
          <w:i/>
        </w:rPr>
        <w:t xml:space="preserve">On met en DP la principale fracture (en l’occurrence dans ce cas la fracture qui va être opérée) et </w:t>
      </w:r>
      <w:r w:rsidR="000F1CF8">
        <w:rPr>
          <w:i/>
        </w:rPr>
        <w:t xml:space="preserve">on code toutes les fractures connues, </w:t>
      </w:r>
      <w:r w:rsidR="000F1CF8" w:rsidRPr="000F1CF8">
        <w:rPr>
          <w:i/>
        </w:rPr>
        <w:t xml:space="preserve">surtout </w:t>
      </w:r>
      <w:r w:rsidR="000F1CF8" w:rsidRPr="000F1CF8">
        <w:rPr>
          <w:b/>
          <w:i/>
        </w:rPr>
        <w:t xml:space="preserve">on n’utilise </w:t>
      </w:r>
      <w:r w:rsidR="000F1CF8" w:rsidRPr="00BD35EE">
        <w:rPr>
          <w:b/>
          <w:i/>
          <w:u w:val="single"/>
        </w:rPr>
        <w:t xml:space="preserve">pas </w:t>
      </w:r>
      <w:r w:rsidR="000F1CF8" w:rsidRPr="000F1CF8">
        <w:rPr>
          <w:b/>
          <w:i/>
        </w:rPr>
        <w:t>le code T07</w:t>
      </w:r>
      <w:r w:rsidR="000F1CF8" w:rsidRPr="000F1CF8">
        <w:rPr>
          <w:i/>
        </w:rPr>
        <w:t xml:space="preserve"> (lésions traumatiques multiples sans précision)</w:t>
      </w:r>
    </w:p>
    <w:p w14:paraId="00A7EB6D" w14:textId="77777777" w:rsidR="000F1CF8" w:rsidRPr="000F1CF8" w:rsidRDefault="000F1CF8" w:rsidP="007E5E97">
      <w:pPr>
        <w:rPr>
          <w:i/>
        </w:rPr>
      </w:pPr>
    </w:p>
    <w:p w14:paraId="44FF5E2F" w14:textId="77777777" w:rsidR="00B86328" w:rsidRDefault="003F40EF" w:rsidP="00722750">
      <w:pPr>
        <w:pStyle w:val="Paragraphedeliste"/>
        <w:numPr>
          <w:ilvl w:val="0"/>
          <w:numId w:val="7"/>
        </w:numPr>
      </w:pPr>
      <w:r>
        <w:t>P</w:t>
      </w:r>
      <w:r w:rsidR="00111FD5">
        <w:t>atiente</w:t>
      </w:r>
      <w:r>
        <w:t xml:space="preserve"> de 56 ans, diabétique de type 1, hospitalisée </w:t>
      </w:r>
      <w:r w:rsidR="007F1AC9">
        <w:t xml:space="preserve">pour des douleurs intenses dorsales, l’imagerie objective </w:t>
      </w:r>
      <w:r>
        <w:t>une fracture ostéoporotique d’une vertèbre lombaire</w:t>
      </w:r>
      <w:r w:rsidR="00056F1E">
        <w:br/>
      </w:r>
      <w:r w:rsidR="006A77FD" w:rsidRPr="009B346B">
        <w:rPr>
          <w:b/>
          <w:color w:val="FF0000"/>
        </w:rPr>
        <w:t xml:space="preserve">Règle </w:t>
      </w:r>
      <w:r w:rsidR="006A77FD">
        <w:rPr>
          <w:b/>
          <w:color w:val="FF0000"/>
        </w:rPr>
        <w:t>D</w:t>
      </w:r>
      <w:r w:rsidR="001F5E77">
        <w:rPr>
          <w:b/>
          <w:color w:val="FF0000"/>
        </w:rPr>
        <w:t>8</w:t>
      </w:r>
      <w:r w:rsidR="006A77FD" w:rsidRPr="009B346B">
        <w:rPr>
          <w:color w:val="FF0000"/>
        </w:rPr>
        <w:t xml:space="preserve"> : </w:t>
      </w:r>
      <w:r w:rsidR="001F5E77">
        <w:rPr>
          <w:color w:val="FF0000"/>
        </w:rPr>
        <w:t>Pathologie intercurrente à une pathologie chronique</w:t>
      </w:r>
    </w:p>
    <w:p w14:paraId="13CD03A6" w14:textId="77777777" w:rsidR="00111FD5" w:rsidRPr="00B86328" w:rsidRDefault="00B86328" w:rsidP="00B86328">
      <w:pPr>
        <w:rPr>
          <w:i/>
        </w:rPr>
      </w:pPr>
      <w:r w:rsidRPr="00B86328">
        <w:rPr>
          <w:b/>
        </w:rPr>
        <w:t>DP </w:t>
      </w:r>
      <w:r>
        <w:t>:</w:t>
      </w:r>
      <w:r w:rsidRPr="00B86328">
        <w:t xml:space="preserve"> M8098 Ostéoporose avec fracture pathologique, sans précision - Autres localisations</w:t>
      </w:r>
      <w:r>
        <w:t xml:space="preserve"> </w:t>
      </w:r>
      <w:r w:rsidR="006A77FD">
        <w:br/>
      </w:r>
      <w:r w:rsidRPr="00B86328">
        <w:rPr>
          <w:b/>
        </w:rPr>
        <w:t>DAS</w:t>
      </w:r>
      <w:r>
        <w:t xml:space="preserve"> : </w:t>
      </w:r>
      <w:r w:rsidRPr="00B86328">
        <w:t>E109 Diabète sucré de type 1, sans complication</w:t>
      </w:r>
      <w:r w:rsidR="006A77FD">
        <w:br/>
      </w:r>
      <w:r w:rsidRPr="00B86328">
        <w:rPr>
          <w:i/>
        </w:rPr>
        <w:t>Je code en DAS le diabète de type 1 qui sera pris en charge pendant l’hospitalisation</w:t>
      </w:r>
      <w:r w:rsidR="00D4635D">
        <w:rPr>
          <w:i/>
        </w:rPr>
        <w:t xml:space="preserve"> (insulinothérapie)</w:t>
      </w:r>
    </w:p>
    <w:p w14:paraId="3B11BCB0" w14:textId="77777777" w:rsidR="00B86328" w:rsidRDefault="00B86328" w:rsidP="00B86328"/>
    <w:p w14:paraId="32808D6C" w14:textId="77777777" w:rsidR="00570C4C" w:rsidRPr="00570C4C" w:rsidRDefault="003F40EF" w:rsidP="00570C4C">
      <w:pPr>
        <w:pStyle w:val="Paragraphedeliste"/>
        <w:numPr>
          <w:ilvl w:val="0"/>
          <w:numId w:val="7"/>
        </w:numPr>
        <w:rPr>
          <w:b/>
          <w:color w:val="FF0000"/>
        </w:rPr>
      </w:pPr>
      <w:r>
        <w:t>Patiente hospitalisée pour une luxation d’une prothèse de hanche mise en place il y a 10 ans.</w:t>
      </w:r>
      <w:r w:rsidR="005C6C12">
        <w:t xml:space="preserve"> Changement de prothèse.</w:t>
      </w:r>
      <w:r w:rsidR="00056F1E">
        <w:br/>
      </w:r>
      <w:r w:rsidR="00570C4C" w:rsidRPr="00570C4C">
        <w:rPr>
          <w:b/>
          <w:color w:val="FF0000"/>
        </w:rPr>
        <w:t xml:space="preserve">Règle T3 : </w:t>
      </w:r>
      <w:r w:rsidR="00570C4C" w:rsidRPr="00570C4C">
        <w:rPr>
          <w:color w:val="FF0000"/>
        </w:rPr>
        <w:t>traitement unique chirurgical</w:t>
      </w:r>
    </w:p>
    <w:p w14:paraId="08BE27C7" w14:textId="77777777" w:rsidR="003F40EF" w:rsidRDefault="00570C4C" w:rsidP="00570C4C">
      <w:r>
        <w:t xml:space="preserve">DP : </w:t>
      </w:r>
      <w:r w:rsidRPr="00570C4C">
        <w:t>T840 Complication mécanique d'une prothèse articulaire interne</w:t>
      </w:r>
      <w:r w:rsidR="00DE166D">
        <w:br/>
        <w:t xml:space="preserve">DAS : </w:t>
      </w:r>
      <w:r w:rsidR="00DE166D" w:rsidRPr="00DE166D">
        <w:t>Y83.1 Intervention chirurgicale avec implantation d'une prothèse interne</w:t>
      </w:r>
    </w:p>
    <w:p w14:paraId="0208B1F9" w14:textId="77777777" w:rsidR="00570C4C" w:rsidRDefault="00570C4C" w:rsidP="00570C4C">
      <w:pPr>
        <w:rPr>
          <w:i/>
        </w:rPr>
      </w:pPr>
      <w:r w:rsidRPr="00570C4C">
        <w:rPr>
          <w:i/>
        </w:rPr>
        <w:t xml:space="preserve">Nous n’avons pas de diagnostic plus précis </w:t>
      </w:r>
      <w:r w:rsidR="00BD35EE">
        <w:rPr>
          <w:i/>
        </w:rPr>
        <w:t>(</w:t>
      </w:r>
      <w:r w:rsidR="00BD35EE" w:rsidRPr="00BD35EE">
        <w:rPr>
          <w:i/>
          <w:u w:val="single"/>
        </w:rPr>
        <w:t>luxation de la prothèse</w:t>
      </w:r>
      <w:r w:rsidR="00BD35EE">
        <w:rPr>
          <w:i/>
        </w:rPr>
        <w:t xml:space="preserve">) </w:t>
      </w:r>
      <w:r w:rsidRPr="00570C4C">
        <w:rPr>
          <w:i/>
        </w:rPr>
        <w:t xml:space="preserve">dans les autres chapitres </w:t>
      </w:r>
      <w:r w:rsidR="002D59DE">
        <w:rPr>
          <w:i/>
        </w:rPr>
        <w:t xml:space="preserve">(M ou S) </w:t>
      </w:r>
      <w:r w:rsidRPr="00570C4C">
        <w:rPr>
          <w:i/>
        </w:rPr>
        <w:t>pour coder le diagnostic principal, c’est une des utilisations des codes T en diagnostic principal.</w:t>
      </w:r>
    </w:p>
    <w:p w14:paraId="22A0452C" w14:textId="77777777" w:rsidR="004837DD" w:rsidRPr="00570C4C" w:rsidRDefault="004837DD" w:rsidP="00570C4C">
      <w:pPr>
        <w:rPr>
          <w:i/>
        </w:rPr>
      </w:pPr>
    </w:p>
    <w:p w14:paraId="798A66CD" w14:textId="77777777" w:rsidR="002D59DE" w:rsidRDefault="003F40EF" w:rsidP="002D59DE">
      <w:pPr>
        <w:pStyle w:val="Paragraphedeliste"/>
        <w:numPr>
          <w:ilvl w:val="0"/>
          <w:numId w:val="7"/>
        </w:numPr>
      </w:pPr>
      <w:r>
        <w:lastRenderedPageBreak/>
        <w:t xml:space="preserve">Patient de 3 ans, tombé du </w:t>
      </w:r>
      <w:r w:rsidR="006F185C">
        <w:t>toboggan</w:t>
      </w:r>
      <w:r>
        <w:t xml:space="preserve"> au square, hospitalisé quelques heures pour la surveillance d’un traumatisme crânien avec perte de connaissance</w:t>
      </w:r>
      <w:r w:rsidR="00C64236">
        <w:t xml:space="preserve"> sur place</w:t>
      </w:r>
      <w:r>
        <w:t>.</w:t>
      </w:r>
      <w:r w:rsidR="00C64236">
        <w:t xml:space="preserve"> Rien d’anormal à l’imagerie, pas de nausée ou de trouble de la conscience lors de la surveillance, l’enfant est autorisé à rentrer chez lui.</w:t>
      </w:r>
      <w:r w:rsidR="002D59DE">
        <w:br/>
      </w:r>
      <w:r w:rsidR="002D59DE" w:rsidRPr="009B346B">
        <w:rPr>
          <w:b/>
          <w:color w:val="FF0000"/>
        </w:rPr>
        <w:t xml:space="preserve">Règle </w:t>
      </w:r>
      <w:r w:rsidR="002D59DE">
        <w:rPr>
          <w:b/>
          <w:color w:val="FF0000"/>
        </w:rPr>
        <w:t>D1</w:t>
      </w:r>
      <w:r w:rsidR="002D59DE" w:rsidRPr="009B346B">
        <w:rPr>
          <w:color w:val="FF0000"/>
        </w:rPr>
        <w:t xml:space="preserve"> : </w:t>
      </w:r>
      <w:r w:rsidR="002D59DE">
        <w:rPr>
          <w:color w:val="FF0000"/>
        </w:rPr>
        <w:t>Diagnostic de l’affection causale</w:t>
      </w:r>
    </w:p>
    <w:p w14:paraId="4D96B1B2" w14:textId="77777777" w:rsidR="003F40EF" w:rsidRDefault="002D59DE" w:rsidP="002D59DE">
      <w:r>
        <w:t xml:space="preserve">DP : </w:t>
      </w:r>
      <w:r w:rsidRPr="002D59DE">
        <w:t>S0600 Commotion cérébrale, sans plaie intracrânienne</w:t>
      </w:r>
      <w:r>
        <w:br/>
        <w:t xml:space="preserve">DAS : </w:t>
      </w:r>
      <w:r w:rsidRPr="002D59DE">
        <w:t xml:space="preserve">R55 Syncope  </w:t>
      </w:r>
      <w:r w:rsidR="00D44DD8">
        <w:br/>
        <w:t xml:space="preserve">DAS : </w:t>
      </w:r>
      <w:r w:rsidR="00D44DD8" w:rsidRPr="00D44DD8">
        <w:t>W09</w:t>
      </w:r>
      <w:r w:rsidR="00D44DD8">
        <w:t>.8</w:t>
      </w:r>
      <w:r w:rsidR="00D44DD8" w:rsidRPr="00D44DD8">
        <w:t xml:space="preserve">      Chute du haut d'agrès équipant un terrain de jeux</w:t>
      </w:r>
      <w:r w:rsidR="00D44DD8">
        <w:t>, lieu public (voire W31.8_ </w:t>
      </w:r>
      <w:r w:rsidR="00D44DD8">
        <w:sym w:font="Wingdings" w:char="F04A"/>
      </w:r>
      <w:r w:rsidR="00D44DD8">
        <w:t xml:space="preserve"> )</w:t>
      </w:r>
      <w:r>
        <w:br/>
      </w:r>
      <w:r>
        <w:br/>
      </w:r>
      <w:r w:rsidRPr="002D59DE">
        <w:rPr>
          <w:i/>
        </w:rPr>
        <w:t>Bien lire les consignes concernant les traumatismes crâniens sur la COCOA</w:t>
      </w:r>
      <w:r w:rsidR="00056F1E" w:rsidRPr="002D59DE">
        <w:rPr>
          <w:i/>
        </w:rPr>
        <w:br/>
      </w:r>
    </w:p>
    <w:p w14:paraId="292BD0CF" w14:textId="77777777" w:rsidR="00983E8F" w:rsidRDefault="003F40EF" w:rsidP="00983E8F">
      <w:pPr>
        <w:pStyle w:val="Paragraphedeliste"/>
        <w:numPr>
          <w:ilvl w:val="0"/>
          <w:numId w:val="7"/>
        </w:numPr>
      </w:pPr>
      <w:r>
        <w:t>Patient de 77 ans, ayant eu un cancer du poumon opéré en 2010</w:t>
      </w:r>
      <w:r w:rsidR="008949E4">
        <w:t xml:space="preserve"> actuellement en rémission</w:t>
      </w:r>
      <w:r w:rsidR="00D44DD8">
        <w:t xml:space="preserve"> depuis</w:t>
      </w:r>
      <w:r>
        <w:t xml:space="preserve">, </w:t>
      </w:r>
      <w:r w:rsidR="008949E4">
        <w:t>admis pour des douleurs rachidiennes</w:t>
      </w:r>
      <w:r w:rsidR="00983E8F">
        <w:t xml:space="preserve"> lombaires</w:t>
      </w:r>
      <w:r w:rsidR="008949E4">
        <w:t xml:space="preserve">. Les examens d’imagerie </w:t>
      </w:r>
      <w:r w:rsidR="002D59DE">
        <w:t>ne mettent rien en évidence de particulier, le patient est soulagé par des antalgiques de palier 2.</w:t>
      </w:r>
      <w:r w:rsidR="00983E8F">
        <w:br/>
      </w:r>
      <w:r w:rsidR="00983E8F" w:rsidRPr="009B346B">
        <w:rPr>
          <w:b/>
          <w:color w:val="FF0000"/>
        </w:rPr>
        <w:t xml:space="preserve">Règle </w:t>
      </w:r>
      <w:r w:rsidR="00983E8F">
        <w:rPr>
          <w:b/>
          <w:color w:val="FF0000"/>
        </w:rPr>
        <w:t>D2</w:t>
      </w:r>
      <w:r w:rsidR="00983E8F" w:rsidRPr="009B346B">
        <w:rPr>
          <w:color w:val="FF0000"/>
        </w:rPr>
        <w:t xml:space="preserve"> : </w:t>
      </w:r>
      <w:r w:rsidR="00983E8F">
        <w:rPr>
          <w:color w:val="FF0000"/>
        </w:rPr>
        <w:t>Pas de cause découverte, on reste sur le symptôme en DP</w:t>
      </w:r>
    </w:p>
    <w:p w14:paraId="10F65232" w14:textId="77777777" w:rsidR="003F40EF" w:rsidRDefault="00983E8F" w:rsidP="00983E8F">
      <w:r w:rsidRPr="007755F5">
        <w:rPr>
          <w:b/>
        </w:rPr>
        <w:t>DP</w:t>
      </w:r>
      <w:r>
        <w:t xml:space="preserve"> : </w:t>
      </w:r>
      <w:r w:rsidR="007755F5" w:rsidRPr="007755F5">
        <w:t>M5456 Lombalgie basse - Région lombaire</w:t>
      </w:r>
      <w:r>
        <w:br/>
      </w:r>
      <w:r w:rsidR="007755F5" w:rsidRPr="007755F5">
        <w:rPr>
          <w:b/>
        </w:rPr>
        <w:t>DAS</w:t>
      </w:r>
      <w:r w:rsidR="007755F5">
        <w:t xml:space="preserve"> : </w:t>
      </w:r>
      <w:r w:rsidR="007755F5" w:rsidRPr="007755F5">
        <w:t>Z851 Antécédents personnels de tumeur maligne de la trachée, des bronches et des poumons</w:t>
      </w:r>
    </w:p>
    <w:p w14:paraId="54BBF618" w14:textId="77777777" w:rsidR="00045605" w:rsidRDefault="00D44DD8" w:rsidP="00E63426">
      <w:r>
        <w:t>Il est du ressort du clinicien d’indiquer si le cancer est considéré comme actif (il sera alors codé par un code C) ou s’il est un antécédent du patient, dans ce cas d’une rémission de 6ans, le code Z d’antécédent semble le plus approprié.</w:t>
      </w:r>
    </w:p>
    <w:p w14:paraId="49DCDDD2" w14:textId="77777777" w:rsidR="00045605" w:rsidRPr="00E63426" w:rsidRDefault="00045605" w:rsidP="00E63426"/>
    <w:sectPr w:rsidR="00045605" w:rsidRPr="00E6342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111FA" w14:textId="77777777" w:rsidR="000B0CEC" w:rsidRDefault="000B0CEC" w:rsidP="00C35B2B">
      <w:pPr>
        <w:spacing w:after="0" w:line="240" w:lineRule="auto"/>
      </w:pPr>
      <w:r>
        <w:separator/>
      </w:r>
    </w:p>
  </w:endnote>
  <w:endnote w:type="continuationSeparator" w:id="0">
    <w:p w14:paraId="6D3F9B75" w14:textId="77777777" w:rsidR="000B0CEC" w:rsidRDefault="000B0CEC" w:rsidP="00C3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Bold">
    <w:altName w:val="Georg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C4ACF" w14:textId="77777777" w:rsidR="003D500A" w:rsidRDefault="003D50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1CEA3" w14:textId="77777777" w:rsidR="003D500A" w:rsidRDefault="003D500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6ACA7" w14:textId="77777777" w:rsidR="003D500A" w:rsidRDefault="003D50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7E265" w14:textId="77777777" w:rsidR="000B0CEC" w:rsidRDefault="000B0CEC" w:rsidP="00C35B2B">
      <w:pPr>
        <w:spacing w:after="0" w:line="240" w:lineRule="auto"/>
      </w:pPr>
      <w:r>
        <w:separator/>
      </w:r>
    </w:p>
  </w:footnote>
  <w:footnote w:type="continuationSeparator" w:id="0">
    <w:p w14:paraId="33AA92C4" w14:textId="77777777" w:rsidR="000B0CEC" w:rsidRDefault="000B0CEC" w:rsidP="00C35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0DA1" w14:textId="77777777" w:rsidR="003D500A" w:rsidRDefault="003D50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emoyenne2-Accent1"/>
      <w:tblW w:w="0" w:type="auto"/>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2376"/>
      <w:gridCol w:w="5529"/>
      <w:gridCol w:w="1307"/>
    </w:tblGrid>
    <w:tr w:rsidR="00C35B2B" w14:paraId="4C930051" w14:textId="77777777" w:rsidTr="00C35B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Borders>
            <w:top w:val="none" w:sz="0" w:space="0" w:color="auto"/>
            <w:left w:val="none" w:sz="0" w:space="0" w:color="auto"/>
            <w:bottom w:val="none" w:sz="0" w:space="0" w:color="auto"/>
            <w:right w:val="none" w:sz="0" w:space="0" w:color="auto"/>
          </w:tcBorders>
        </w:tcPr>
        <w:p w14:paraId="65A9DCBA" w14:textId="74B8D7B4" w:rsidR="00C35B2B" w:rsidRPr="00C35B2B" w:rsidRDefault="00C35B2B" w:rsidP="00CF2B70">
          <w:pPr>
            <w:pStyle w:val="En-tte"/>
            <w:jc w:val="center"/>
            <w:rPr>
              <w:b/>
            </w:rPr>
          </w:pPr>
        </w:p>
      </w:tc>
      <w:tc>
        <w:tcPr>
          <w:tcW w:w="5529" w:type="dxa"/>
          <w:tcBorders>
            <w:top w:val="none" w:sz="0" w:space="0" w:color="auto"/>
            <w:left w:val="none" w:sz="0" w:space="0" w:color="auto"/>
            <w:bottom w:val="none" w:sz="0" w:space="0" w:color="auto"/>
            <w:right w:val="none" w:sz="0" w:space="0" w:color="auto"/>
          </w:tcBorders>
        </w:tcPr>
        <w:p w14:paraId="4085CB19" w14:textId="77777777" w:rsidR="00C35B2B" w:rsidRPr="00C35B2B" w:rsidRDefault="00C35B2B" w:rsidP="00C35B2B">
          <w:pPr>
            <w:pStyle w:val="En-tte"/>
            <w:jc w:val="center"/>
            <w:cnfStyle w:val="100000000000" w:firstRow="1" w:lastRow="0" w:firstColumn="0" w:lastColumn="0" w:oddVBand="0" w:evenVBand="0" w:oddHBand="0" w:evenHBand="0" w:firstRowFirstColumn="0" w:firstRowLastColumn="0" w:lastRowFirstColumn="0" w:lastRowLastColumn="0"/>
            <w:rPr>
              <w:b/>
            </w:rPr>
          </w:pPr>
          <w:r>
            <w:rPr>
              <w:b/>
            </w:rPr>
            <w:t xml:space="preserve">FORMATION AU CODAGE PMSI </w:t>
          </w:r>
          <w:r w:rsidR="007E5E97">
            <w:rPr>
              <w:b/>
            </w:rPr>
            <w:t>DES DIAGNOSTICS</w:t>
          </w:r>
        </w:p>
      </w:tc>
      <w:tc>
        <w:tcPr>
          <w:tcW w:w="1307" w:type="dxa"/>
          <w:tcBorders>
            <w:top w:val="none" w:sz="0" w:space="0" w:color="auto"/>
            <w:left w:val="none" w:sz="0" w:space="0" w:color="auto"/>
            <w:bottom w:val="none" w:sz="0" w:space="0" w:color="auto"/>
            <w:right w:val="none" w:sz="0" w:space="0" w:color="auto"/>
          </w:tcBorders>
        </w:tcPr>
        <w:p w14:paraId="67CD5DC3" w14:textId="77777777" w:rsidR="00C35B2B" w:rsidRPr="00B8227E" w:rsidRDefault="00DA2F9B" w:rsidP="00DA2F9B">
          <w:pPr>
            <w:pStyle w:val="En-tte"/>
            <w:jc w:val="center"/>
            <w:cnfStyle w:val="100000000000" w:firstRow="1" w:lastRow="0" w:firstColumn="0" w:lastColumn="0" w:oddVBand="0" w:evenVBand="0" w:oddHBand="0" w:evenHBand="0" w:firstRowFirstColumn="0" w:firstRowLastColumn="0" w:lastRowFirstColumn="0" w:lastRowLastColumn="0"/>
            <w:rPr>
              <w:b/>
            </w:rPr>
          </w:pPr>
          <w:r>
            <w:rPr>
              <w:b/>
            </w:rPr>
            <w:t>NB</w:t>
          </w:r>
        </w:p>
      </w:tc>
    </w:tr>
    <w:tr w:rsidR="00C35B2B" w14:paraId="00980D32" w14:textId="77777777" w:rsidTr="00C35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tcPr>
        <w:p w14:paraId="3E8014A5" w14:textId="77777777" w:rsidR="00C35B2B" w:rsidRDefault="00C35B2B" w:rsidP="00A91A8C">
          <w:pPr>
            <w:pStyle w:val="En-tte"/>
            <w:jc w:val="center"/>
          </w:pPr>
        </w:p>
      </w:tc>
      <w:tc>
        <w:tcPr>
          <w:tcW w:w="5529" w:type="dxa"/>
          <w:tcBorders>
            <w:top w:val="none" w:sz="0" w:space="0" w:color="auto"/>
            <w:left w:val="none" w:sz="0" w:space="0" w:color="auto"/>
            <w:bottom w:val="none" w:sz="0" w:space="0" w:color="auto"/>
            <w:right w:val="none" w:sz="0" w:space="0" w:color="auto"/>
          </w:tcBorders>
        </w:tcPr>
        <w:p w14:paraId="52A4C306" w14:textId="77777777" w:rsidR="00C35B2B" w:rsidRDefault="00E63426" w:rsidP="00C35B2B">
          <w:pPr>
            <w:pStyle w:val="En-tte"/>
            <w:jc w:val="center"/>
            <w:cnfStyle w:val="000000100000" w:firstRow="0" w:lastRow="0" w:firstColumn="0" w:lastColumn="0" w:oddVBand="0" w:evenVBand="0" w:oddHBand="1" w:evenHBand="0" w:firstRowFirstColumn="0" w:firstRowLastColumn="0" w:lastRowFirstColumn="0" w:lastRowLastColumn="0"/>
          </w:pPr>
          <w:r>
            <w:rPr>
              <w:b/>
            </w:rPr>
            <w:t>EXERCICES NIVEAU 1</w:t>
          </w:r>
          <w:r w:rsidR="007E5E97">
            <w:rPr>
              <w:b/>
            </w:rPr>
            <w:t xml:space="preserve"> corrections</w:t>
          </w:r>
        </w:p>
      </w:tc>
      <w:tc>
        <w:tcPr>
          <w:tcW w:w="1307" w:type="dxa"/>
          <w:tcBorders>
            <w:top w:val="none" w:sz="0" w:space="0" w:color="auto"/>
            <w:left w:val="none" w:sz="0" w:space="0" w:color="auto"/>
            <w:bottom w:val="none" w:sz="0" w:space="0" w:color="auto"/>
          </w:tcBorders>
        </w:tcPr>
        <w:p w14:paraId="15DAA927" w14:textId="77777777" w:rsidR="007A3296" w:rsidRDefault="00045605" w:rsidP="00974B77">
          <w:pPr>
            <w:pStyle w:val="En-tte"/>
            <w:cnfStyle w:val="000000100000" w:firstRow="0" w:lastRow="0" w:firstColumn="0" w:lastColumn="0" w:oddVBand="0" w:evenVBand="0" w:oddHBand="1" w:evenHBand="0" w:firstRowFirstColumn="0" w:firstRowLastColumn="0" w:lastRowFirstColumn="0" w:lastRowLastColumn="0"/>
          </w:pPr>
          <w:r>
            <w:t>locomoteur</w:t>
          </w:r>
        </w:p>
      </w:tc>
    </w:tr>
  </w:tbl>
  <w:p w14:paraId="643EEA57" w14:textId="77777777" w:rsidR="00C35B2B" w:rsidRDefault="00C35B2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E7E1B" w14:textId="77777777" w:rsidR="003D500A" w:rsidRDefault="003D50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F51B4"/>
    <w:multiLevelType w:val="hybridMultilevel"/>
    <w:tmpl w:val="0C6247FC"/>
    <w:lvl w:ilvl="0" w:tplc="B720F2E6">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2B307ECB"/>
    <w:multiLevelType w:val="hybridMultilevel"/>
    <w:tmpl w:val="49E2F612"/>
    <w:lvl w:ilvl="0" w:tplc="A1DC061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36826851"/>
    <w:multiLevelType w:val="hybridMultilevel"/>
    <w:tmpl w:val="CD8AE1A0"/>
    <w:lvl w:ilvl="0" w:tplc="EA3A55AA">
      <w:numFmt w:val="bullet"/>
      <w:lvlText w:val=""/>
      <w:lvlJc w:val="left"/>
      <w:pPr>
        <w:ind w:left="1080" w:hanging="360"/>
      </w:pPr>
      <w:rPr>
        <w:rFonts w:ascii="Wingdings" w:eastAsia="Times New Roman" w:hAnsi="Wingdings"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44547EEF"/>
    <w:multiLevelType w:val="hybridMultilevel"/>
    <w:tmpl w:val="C534F640"/>
    <w:lvl w:ilvl="0" w:tplc="040C0001">
      <w:start w:val="1"/>
      <w:numFmt w:val="bullet"/>
      <w:lvlText w:val=""/>
      <w:lvlJc w:val="left"/>
      <w:pPr>
        <w:tabs>
          <w:tab w:val="num" w:pos="1080"/>
        </w:tabs>
        <w:ind w:left="108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73A84664"/>
    <w:multiLevelType w:val="hybridMultilevel"/>
    <w:tmpl w:val="EE8E7884"/>
    <w:lvl w:ilvl="0" w:tplc="C56EAB8C">
      <w:start w:val="1"/>
      <w:numFmt w:val="decimal"/>
      <w:lvlText w:val="%1."/>
      <w:lvlJc w:val="left"/>
      <w:pPr>
        <w:ind w:left="360" w:hanging="360"/>
      </w:pPr>
      <w:rPr>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62569849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3371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8837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34953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0705032">
    <w:abstractNumId w:val="0"/>
  </w:num>
  <w:num w:numId="6" w16cid:durableId="348339327">
    <w:abstractNumId w:val="1"/>
  </w:num>
  <w:num w:numId="7" w16cid:durableId="1429306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B2B"/>
    <w:rsid w:val="00003F63"/>
    <w:rsid w:val="00045605"/>
    <w:rsid w:val="00056F1E"/>
    <w:rsid w:val="000A4F08"/>
    <w:rsid w:val="000B0CEC"/>
    <w:rsid w:val="000B57F9"/>
    <w:rsid w:val="000F1CF8"/>
    <w:rsid w:val="001044D8"/>
    <w:rsid w:val="00111FD5"/>
    <w:rsid w:val="00162346"/>
    <w:rsid w:val="001B28E9"/>
    <w:rsid w:val="001F5E77"/>
    <w:rsid w:val="002168EE"/>
    <w:rsid w:val="0024011D"/>
    <w:rsid w:val="00253045"/>
    <w:rsid w:val="002860FE"/>
    <w:rsid w:val="002920B7"/>
    <w:rsid w:val="002B7319"/>
    <w:rsid w:val="002D59DE"/>
    <w:rsid w:val="003427ED"/>
    <w:rsid w:val="00362B19"/>
    <w:rsid w:val="003D500A"/>
    <w:rsid w:val="003D679C"/>
    <w:rsid w:val="003F40EF"/>
    <w:rsid w:val="004564D3"/>
    <w:rsid w:val="004837DD"/>
    <w:rsid w:val="00491C6C"/>
    <w:rsid w:val="005076D4"/>
    <w:rsid w:val="00570C4C"/>
    <w:rsid w:val="005B456D"/>
    <w:rsid w:val="005C62AB"/>
    <w:rsid w:val="005C6C12"/>
    <w:rsid w:val="005E0449"/>
    <w:rsid w:val="00601522"/>
    <w:rsid w:val="006670CD"/>
    <w:rsid w:val="006A77FD"/>
    <w:rsid w:val="006D6338"/>
    <w:rsid w:val="006E3477"/>
    <w:rsid w:val="006F185C"/>
    <w:rsid w:val="0070062B"/>
    <w:rsid w:val="00702C19"/>
    <w:rsid w:val="00722750"/>
    <w:rsid w:val="00736633"/>
    <w:rsid w:val="007755F5"/>
    <w:rsid w:val="007927EC"/>
    <w:rsid w:val="007A3296"/>
    <w:rsid w:val="007C157E"/>
    <w:rsid w:val="007D7316"/>
    <w:rsid w:val="007E5E97"/>
    <w:rsid w:val="007F1AC9"/>
    <w:rsid w:val="008043C5"/>
    <w:rsid w:val="00805A05"/>
    <w:rsid w:val="008904CD"/>
    <w:rsid w:val="008949E4"/>
    <w:rsid w:val="00974B77"/>
    <w:rsid w:val="00983E8F"/>
    <w:rsid w:val="009B346B"/>
    <w:rsid w:val="00A85A32"/>
    <w:rsid w:val="00A91A8C"/>
    <w:rsid w:val="00AB6D25"/>
    <w:rsid w:val="00B52338"/>
    <w:rsid w:val="00B8227E"/>
    <w:rsid w:val="00B86328"/>
    <w:rsid w:val="00B9422F"/>
    <w:rsid w:val="00BA7C0A"/>
    <w:rsid w:val="00BB6C5B"/>
    <w:rsid w:val="00BD35EE"/>
    <w:rsid w:val="00C258BC"/>
    <w:rsid w:val="00C35B2B"/>
    <w:rsid w:val="00C44154"/>
    <w:rsid w:val="00C64236"/>
    <w:rsid w:val="00C740FB"/>
    <w:rsid w:val="00CA32F0"/>
    <w:rsid w:val="00CC298F"/>
    <w:rsid w:val="00CF2B70"/>
    <w:rsid w:val="00D44DD8"/>
    <w:rsid w:val="00D4635D"/>
    <w:rsid w:val="00D90C9F"/>
    <w:rsid w:val="00DA2F9B"/>
    <w:rsid w:val="00DE166D"/>
    <w:rsid w:val="00E17D93"/>
    <w:rsid w:val="00E51A72"/>
    <w:rsid w:val="00E63426"/>
    <w:rsid w:val="00E71AA9"/>
    <w:rsid w:val="00F02FDC"/>
    <w:rsid w:val="00F7279E"/>
    <w:rsid w:val="00FC0302"/>
    <w:rsid w:val="00FD63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EE91A"/>
  <w15:docId w15:val="{77B82E8D-0B48-4E30-91CD-0A94CFB5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35B2B"/>
    <w:pPr>
      <w:tabs>
        <w:tab w:val="center" w:pos="4536"/>
        <w:tab w:val="right" w:pos="9072"/>
      </w:tabs>
    </w:pPr>
  </w:style>
  <w:style w:type="character" w:customStyle="1" w:styleId="En-tteCar">
    <w:name w:val="En-tête Car"/>
    <w:basedOn w:val="Policepardfaut"/>
    <w:link w:val="En-tte"/>
    <w:uiPriority w:val="99"/>
    <w:rsid w:val="00C35B2B"/>
    <w:rPr>
      <w:sz w:val="22"/>
      <w:szCs w:val="22"/>
      <w:lang w:eastAsia="en-US"/>
    </w:rPr>
  </w:style>
  <w:style w:type="paragraph" w:styleId="Pieddepage">
    <w:name w:val="footer"/>
    <w:basedOn w:val="Normal"/>
    <w:link w:val="PieddepageCar"/>
    <w:uiPriority w:val="99"/>
    <w:unhideWhenUsed/>
    <w:rsid w:val="00C35B2B"/>
    <w:pPr>
      <w:tabs>
        <w:tab w:val="center" w:pos="4536"/>
        <w:tab w:val="right" w:pos="9072"/>
      </w:tabs>
    </w:pPr>
  </w:style>
  <w:style w:type="character" w:customStyle="1" w:styleId="PieddepageCar">
    <w:name w:val="Pied de page Car"/>
    <w:basedOn w:val="Policepardfaut"/>
    <w:link w:val="Pieddepage"/>
    <w:uiPriority w:val="99"/>
    <w:rsid w:val="00C35B2B"/>
    <w:rPr>
      <w:sz w:val="22"/>
      <w:szCs w:val="22"/>
      <w:lang w:eastAsia="en-US"/>
    </w:rPr>
  </w:style>
  <w:style w:type="table" w:styleId="Grilledutableau">
    <w:name w:val="Table Grid"/>
    <w:basedOn w:val="TableauNormal"/>
    <w:uiPriority w:val="59"/>
    <w:rsid w:val="00C35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2-Accent1">
    <w:name w:val="Medium List 2 Accent 1"/>
    <w:basedOn w:val="TableauNormal"/>
    <w:uiPriority w:val="66"/>
    <w:rsid w:val="00C35B2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edebulles">
    <w:name w:val="Balloon Text"/>
    <w:basedOn w:val="Normal"/>
    <w:link w:val="TextedebullesCar"/>
    <w:uiPriority w:val="99"/>
    <w:semiHidden/>
    <w:unhideWhenUsed/>
    <w:rsid w:val="00DA2F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2F9B"/>
    <w:rPr>
      <w:rFonts w:ascii="Tahoma" w:hAnsi="Tahoma" w:cs="Tahoma"/>
      <w:sz w:val="16"/>
      <w:szCs w:val="16"/>
      <w:lang w:eastAsia="en-US"/>
    </w:rPr>
  </w:style>
  <w:style w:type="character" w:styleId="Accentuation">
    <w:name w:val="Emphasis"/>
    <w:qFormat/>
    <w:rsid w:val="007A3296"/>
    <w:rPr>
      <w:b/>
      <w:bCs/>
      <w:i w:val="0"/>
      <w:iCs w:val="0"/>
    </w:rPr>
  </w:style>
  <w:style w:type="character" w:customStyle="1" w:styleId="En-tteCar1">
    <w:name w:val="En-tête Car1"/>
    <w:locked/>
    <w:rsid w:val="007A3296"/>
    <w:rPr>
      <w:rFonts w:ascii="Times New Roman" w:eastAsia="Times New Roman" w:hAnsi="Times New Roman"/>
    </w:rPr>
  </w:style>
  <w:style w:type="paragraph" w:styleId="Paragraphedeliste">
    <w:name w:val="List Paragraph"/>
    <w:basedOn w:val="Normal"/>
    <w:uiPriority w:val="34"/>
    <w:qFormat/>
    <w:rsid w:val="00722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1367">
      <w:bodyDiv w:val="1"/>
      <w:marLeft w:val="0"/>
      <w:marRight w:val="0"/>
      <w:marTop w:val="0"/>
      <w:marBottom w:val="0"/>
      <w:divBdr>
        <w:top w:val="none" w:sz="0" w:space="0" w:color="auto"/>
        <w:left w:val="none" w:sz="0" w:space="0" w:color="auto"/>
        <w:bottom w:val="none" w:sz="0" w:space="0" w:color="auto"/>
        <w:right w:val="none" w:sz="0" w:space="0" w:color="auto"/>
      </w:divBdr>
      <w:divsChild>
        <w:div w:id="1365011003">
          <w:marLeft w:val="0"/>
          <w:marRight w:val="0"/>
          <w:marTop w:val="300"/>
          <w:marBottom w:val="0"/>
          <w:divBdr>
            <w:top w:val="single" w:sz="6" w:space="0" w:color="496077"/>
            <w:left w:val="single" w:sz="6" w:space="0" w:color="496077"/>
            <w:bottom w:val="single" w:sz="6" w:space="0" w:color="496077"/>
            <w:right w:val="single" w:sz="6" w:space="0" w:color="496077"/>
          </w:divBdr>
          <w:divsChild>
            <w:div w:id="972635282">
              <w:marLeft w:val="120"/>
              <w:marRight w:val="120"/>
              <w:marTop w:val="180"/>
              <w:marBottom w:val="120"/>
              <w:divBdr>
                <w:top w:val="none" w:sz="0" w:space="0" w:color="auto"/>
                <w:left w:val="none" w:sz="0" w:space="0" w:color="auto"/>
                <w:bottom w:val="none" w:sz="0" w:space="0" w:color="auto"/>
                <w:right w:val="none" w:sz="0" w:space="0" w:color="auto"/>
              </w:divBdr>
              <w:divsChild>
                <w:div w:id="8963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461">
      <w:bodyDiv w:val="1"/>
      <w:marLeft w:val="0"/>
      <w:marRight w:val="0"/>
      <w:marTop w:val="0"/>
      <w:marBottom w:val="0"/>
      <w:divBdr>
        <w:top w:val="none" w:sz="0" w:space="0" w:color="auto"/>
        <w:left w:val="none" w:sz="0" w:space="0" w:color="auto"/>
        <w:bottom w:val="none" w:sz="0" w:space="0" w:color="auto"/>
        <w:right w:val="none" w:sz="0" w:space="0" w:color="auto"/>
      </w:divBdr>
    </w:div>
    <w:div w:id="518541274">
      <w:bodyDiv w:val="1"/>
      <w:marLeft w:val="0"/>
      <w:marRight w:val="0"/>
      <w:marTop w:val="0"/>
      <w:marBottom w:val="0"/>
      <w:divBdr>
        <w:top w:val="none" w:sz="0" w:space="0" w:color="auto"/>
        <w:left w:val="none" w:sz="0" w:space="0" w:color="auto"/>
        <w:bottom w:val="none" w:sz="0" w:space="0" w:color="auto"/>
        <w:right w:val="none" w:sz="0" w:space="0" w:color="auto"/>
      </w:divBdr>
    </w:div>
    <w:div w:id="1487016043">
      <w:bodyDiv w:val="1"/>
      <w:marLeft w:val="0"/>
      <w:marRight w:val="0"/>
      <w:marTop w:val="0"/>
      <w:marBottom w:val="0"/>
      <w:divBdr>
        <w:top w:val="none" w:sz="0" w:space="0" w:color="auto"/>
        <w:left w:val="none" w:sz="0" w:space="0" w:color="auto"/>
        <w:bottom w:val="none" w:sz="0" w:space="0" w:color="auto"/>
        <w:right w:val="none" w:sz="0" w:space="0" w:color="auto"/>
      </w:divBdr>
      <w:divsChild>
        <w:div w:id="1431854789">
          <w:marLeft w:val="0"/>
          <w:marRight w:val="0"/>
          <w:marTop w:val="300"/>
          <w:marBottom w:val="0"/>
          <w:divBdr>
            <w:top w:val="single" w:sz="6" w:space="0" w:color="496077"/>
            <w:left w:val="single" w:sz="6" w:space="0" w:color="496077"/>
            <w:bottom w:val="single" w:sz="6" w:space="0" w:color="496077"/>
            <w:right w:val="single" w:sz="6" w:space="0" w:color="496077"/>
          </w:divBdr>
          <w:divsChild>
            <w:div w:id="990409695">
              <w:marLeft w:val="120"/>
              <w:marRight w:val="120"/>
              <w:marTop w:val="180"/>
              <w:marBottom w:val="120"/>
              <w:divBdr>
                <w:top w:val="none" w:sz="0" w:space="0" w:color="auto"/>
                <w:left w:val="none" w:sz="0" w:space="0" w:color="auto"/>
                <w:bottom w:val="none" w:sz="0" w:space="0" w:color="auto"/>
                <w:right w:val="none" w:sz="0" w:space="0" w:color="auto"/>
              </w:divBdr>
              <w:divsChild>
                <w:div w:id="3164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3019">
      <w:bodyDiv w:val="1"/>
      <w:marLeft w:val="0"/>
      <w:marRight w:val="0"/>
      <w:marTop w:val="0"/>
      <w:marBottom w:val="0"/>
      <w:divBdr>
        <w:top w:val="none" w:sz="0" w:space="0" w:color="auto"/>
        <w:left w:val="none" w:sz="0" w:space="0" w:color="auto"/>
        <w:bottom w:val="none" w:sz="0" w:space="0" w:color="auto"/>
        <w:right w:val="none" w:sz="0" w:space="0" w:color="auto"/>
      </w:divBdr>
    </w:div>
    <w:div w:id="1544706029">
      <w:bodyDiv w:val="1"/>
      <w:marLeft w:val="0"/>
      <w:marRight w:val="0"/>
      <w:marTop w:val="0"/>
      <w:marBottom w:val="0"/>
      <w:divBdr>
        <w:top w:val="none" w:sz="0" w:space="0" w:color="auto"/>
        <w:left w:val="none" w:sz="0" w:space="0" w:color="auto"/>
        <w:bottom w:val="none" w:sz="0" w:space="0" w:color="auto"/>
        <w:right w:val="none" w:sz="0" w:space="0" w:color="auto"/>
      </w:divBdr>
      <w:divsChild>
        <w:div w:id="16204593">
          <w:marLeft w:val="0"/>
          <w:marRight w:val="0"/>
          <w:marTop w:val="300"/>
          <w:marBottom w:val="0"/>
          <w:divBdr>
            <w:top w:val="single" w:sz="6" w:space="0" w:color="496077"/>
            <w:left w:val="single" w:sz="6" w:space="0" w:color="496077"/>
            <w:bottom w:val="single" w:sz="6" w:space="0" w:color="496077"/>
            <w:right w:val="single" w:sz="6" w:space="0" w:color="496077"/>
          </w:divBdr>
          <w:divsChild>
            <w:div w:id="1701661167">
              <w:marLeft w:val="120"/>
              <w:marRight w:val="120"/>
              <w:marTop w:val="180"/>
              <w:marBottom w:val="120"/>
              <w:divBdr>
                <w:top w:val="none" w:sz="0" w:space="0" w:color="auto"/>
                <w:left w:val="none" w:sz="0" w:space="0" w:color="auto"/>
                <w:bottom w:val="none" w:sz="0" w:space="0" w:color="auto"/>
                <w:right w:val="none" w:sz="0" w:space="0" w:color="auto"/>
              </w:divBdr>
              <w:divsChild>
                <w:div w:id="17558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91B1C-CE17-4C22-AC2B-E9949F9B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821</Words>
  <Characters>4519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BLOQUET NATHALIE CHU Nice</dc:creator>
  <cp:lastModifiedBy>nathalie bloquet</cp:lastModifiedBy>
  <cp:revision>31</cp:revision>
  <cp:lastPrinted>2021-09-20T12:02:00Z</cp:lastPrinted>
  <dcterms:created xsi:type="dcterms:W3CDTF">2016-06-30T07:00:00Z</dcterms:created>
  <dcterms:modified xsi:type="dcterms:W3CDTF">2024-10-08T08:00:00Z</dcterms:modified>
</cp:coreProperties>
</file>