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718713" w14:textId="77777777" w:rsidR="00D34346" w:rsidRPr="00D34346" w:rsidRDefault="00D34346" w:rsidP="00D34346">
      <w:pPr>
        <w:rPr>
          <w:b/>
          <w:bCs/>
        </w:rPr>
      </w:pPr>
      <w:r w:rsidRPr="00D34346">
        <w:rPr>
          <w:b/>
          <w:bCs/>
        </w:rPr>
        <w:t>Synthèse du cours – 16 janvier 2025</w:t>
      </w:r>
    </w:p>
    <w:p w14:paraId="4A579E45" w14:textId="77777777" w:rsidR="00D34346" w:rsidRPr="00D34346" w:rsidRDefault="00D34346" w:rsidP="00D34346">
      <w:pPr>
        <w:rPr>
          <w:b/>
          <w:bCs/>
        </w:rPr>
      </w:pPr>
      <w:r w:rsidRPr="00D34346">
        <w:rPr>
          <w:b/>
          <w:bCs/>
        </w:rPr>
        <w:t>Management stratégique – Conclusion et ouvertures</w:t>
      </w:r>
    </w:p>
    <w:p w14:paraId="1E5FAA04" w14:textId="77777777" w:rsidR="00D34346" w:rsidRPr="00D34346" w:rsidRDefault="00D34346" w:rsidP="00D34346">
      <w:r w:rsidRPr="00D34346">
        <w:t>1. Logique générale du cours</w:t>
      </w:r>
    </w:p>
    <w:p w14:paraId="570A12F9" w14:textId="77777777" w:rsidR="00D34346" w:rsidRPr="00D34346" w:rsidRDefault="00D34346" w:rsidP="00D34346">
      <w:r w:rsidRPr="00D34346">
        <w:t>La séance du 16 janvier 2025 visait à clore le cours de management stratégique en ouvrant la réflexion vers des approches contemporaines et dynamiques de la stratégie. Elle s’est articulée autour de deux prolongements majeurs :</w:t>
      </w:r>
    </w:p>
    <w:p w14:paraId="3886CB26" w14:textId="77777777" w:rsidR="00D34346" w:rsidRPr="00D34346" w:rsidRDefault="00D34346" w:rsidP="00D34346">
      <w:pPr>
        <w:numPr>
          <w:ilvl w:val="0"/>
          <w:numId w:val="2"/>
        </w:numPr>
      </w:pPr>
      <w:proofErr w:type="gramStart"/>
      <w:r w:rsidRPr="00D34346">
        <w:t>le</w:t>
      </w:r>
      <w:proofErr w:type="gramEnd"/>
      <w:r w:rsidRPr="00D34346">
        <w:t xml:space="preserve"> transient </w:t>
      </w:r>
      <w:proofErr w:type="spellStart"/>
      <w:r w:rsidRPr="00D34346">
        <w:t>advantage</w:t>
      </w:r>
      <w:proofErr w:type="spellEnd"/>
      <w:r w:rsidRPr="00D34346">
        <w:t xml:space="preserve"> / capacités dynamiques,</w:t>
      </w:r>
    </w:p>
    <w:p w14:paraId="262C51D7" w14:textId="77777777" w:rsidR="00D34346" w:rsidRPr="00D34346" w:rsidRDefault="00D34346" w:rsidP="00D34346">
      <w:pPr>
        <w:numPr>
          <w:ilvl w:val="0"/>
          <w:numId w:val="2"/>
        </w:numPr>
      </w:pPr>
      <w:proofErr w:type="gramStart"/>
      <w:r w:rsidRPr="00D34346">
        <w:t>la</w:t>
      </w:r>
      <w:proofErr w:type="gramEnd"/>
      <w:r w:rsidRPr="00D34346">
        <w:t xml:space="preserve"> stratégie émergente,</w:t>
      </w:r>
      <w:r w:rsidRPr="00D34346">
        <w:br/>
        <w:t>avant une mise en perspective intégrative du cadre AFI (</w:t>
      </w:r>
      <w:proofErr w:type="spellStart"/>
      <w:r w:rsidRPr="00D34346">
        <w:t>Analysis</w:t>
      </w:r>
      <w:proofErr w:type="spellEnd"/>
      <w:r w:rsidRPr="00D34346">
        <w:t>–Formulation–</w:t>
      </w:r>
      <w:proofErr w:type="spellStart"/>
      <w:r w:rsidRPr="00D34346">
        <w:t>Implementation</w:t>
      </w:r>
      <w:proofErr w:type="spellEnd"/>
      <w:r w:rsidRPr="00D34346">
        <w:t xml:space="preserve">) et un retour méthodologique sur les travaux étudiants </w:t>
      </w:r>
    </w:p>
    <w:p w14:paraId="2DF8AC4A" w14:textId="77777777" w:rsidR="00D34346" w:rsidRPr="00D34346" w:rsidRDefault="00D34346" w:rsidP="00D34346">
      <w:r w:rsidRPr="00D34346">
        <w:pict w14:anchorId="1696214B">
          <v:rect id="_x0000_i1049" style="width:0;height:1.5pt" o:hralign="center" o:hrstd="t" o:hr="t" fillcolor="#a0a0a0" stroked="f"/>
        </w:pict>
      </w:r>
    </w:p>
    <w:p w14:paraId="37F665D4" w14:textId="77777777" w:rsidR="00D34346" w:rsidRPr="00D34346" w:rsidRDefault="00D34346" w:rsidP="00D34346">
      <w:r w:rsidRPr="00D34346">
        <w:t>2. Transient Advantage et Capacités Dynamiques</w:t>
      </w:r>
    </w:p>
    <w:p w14:paraId="02AD52C8" w14:textId="77777777" w:rsidR="00D34346" w:rsidRPr="00D34346" w:rsidRDefault="00D34346" w:rsidP="00D34346">
      <w:r w:rsidRPr="00D34346">
        <w:t>2.1. Remise en cause du paradigme classique</w:t>
      </w:r>
    </w:p>
    <w:p w14:paraId="4E4D7130" w14:textId="77777777" w:rsidR="00D34346" w:rsidRPr="00D34346" w:rsidRDefault="00D34346" w:rsidP="00D34346">
      <w:r w:rsidRPr="00D34346">
        <w:t>Sea a rappelé que le paradigme dominant du management stratégique repose historiquement sur l’identification puis la défense durable d’un avantage concurrentiel, à partir d’analyses externes (industrie) et internes (ressources).</w:t>
      </w:r>
    </w:p>
    <w:p w14:paraId="0BFC1091" w14:textId="77777777" w:rsidR="00D34346" w:rsidRPr="00D34346" w:rsidRDefault="00D34346" w:rsidP="00D34346">
      <w:r w:rsidRPr="00D34346">
        <w:t>À l’inverse, l’approche de Rita Gunther McGrath (2013) souligne le caractère temporaire de tout avantage concurrentiel :</w:t>
      </w:r>
    </w:p>
    <w:p w14:paraId="601431C9" w14:textId="77777777" w:rsidR="00D34346" w:rsidRPr="00D34346" w:rsidRDefault="00D34346" w:rsidP="00D34346">
      <w:pPr>
        <w:numPr>
          <w:ilvl w:val="0"/>
          <w:numId w:val="3"/>
        </w:numPr>
      </w:pPr>
      <w:proofErr w:type="gramStart"/>
      <w:r w:rsidRPr="00D34346">
        <w:t>chaque</w:t>
      </w:r>
      <w:proofErr w:type="gramEnd"/>
      <w:r w:rsidRPr="00D34346">
        <w:t xml:space="preserve"> avantage possède une date de péremption,</w:t>
      </w:r>
    </w:p>
    <w:p w14:paraId="01C6E52F" w14:textId="77777777" w:rsidR="00D34346" w:rsidRPr="00D34346" w:rsidRDefault="00D34346" w:rsidP="00D34346">
      <w:pPr>
        <w:numPr>
          <w:ilvl w:val="0"/>
          <w:numId w:val="3"/>
        </w:numPr>
      </w:pPr>
      <w:proofErr w:type="gramStart"/>
      <w:r w:rsidRPr="00D34346">
        <w:t>la</w:t>
      </w:r>
      <w:proofErr w:type="gramEnd"/>
      <w:r w:rsidRPr="00D34346">
        <w:t xml:space="preserve"> performance durable repose non pas sur un avantage unique, mais sur un portefeuille d’avantages à différents stades de maturité (lancement, montée en puissance, exploitation, reconfiguration, désengagement).</w:t>
      </w:r>
    </w:p>
    <w:p w14:paraId="4652E489" w14:textId="77777777" w:rsidR="00D34346" w:rsidRPr="00D34346" w:rsidRDefault="00D34346" w:rsidP="00D34346">
      <w:r w:rsidRPr="00D34346">
        <w:t xml:space="preserve">Cette logique implique une capacité organisationnelle à identifier en amont les points d’inflexion et à réallouer rapidement les ressources, selon une logique proche de la gestion de portefeuille d’investissements </w:t>
      </w:r>
    </w:p>
    <w:p w14:paraId="39362E0A" w14:textId="77777777" w:rsidR="00D34346" w:rsidRDefault="00D34346" w:rsidP="00D34346"/>
    <w:p w14:paraId="2CC97BEC" w14:textId="33E37CC4" w:rsidR="00D34346" w:rsidRPr="00D34346" w:rsidRDefault="00D34346" w:rsidP="00D34346">
      <w:r w:rsidRPr="00D34346">
        <w:t xml:space="preserve">2.2. Capacités dynamiques (Teece, Pisano &amp; </w:t>
      </w:r>
      <w:proofErr w:type="spellStart"/>
      <w:r w:rsidRPr="00D34346">
        <w:t>Shuen</w:t>
      </w:r>
      <w:proofErr w:type="spellEnd"/>
      <w:r w:rsidRPr="00D34346">
        <w:t>, 1997)</w:t>
      </w:r>
    </w:p>
    <w:p w14:paraId="48A3CCF3" w14:textId="77777777" w:rsidR="00D34346" w:rsidRPr="00D34346" w:rsidRDefault="00D34346" w:rsidP="00D34346">
      <w:r w:rsidRPr="00D34346">
        <w:t>Sea a ensuite articulé cette perspective avec le concept de capacités dynamiques, définies comme la capacité d’une firme à :</w:t>
      </w:r>
    </w:p>
    <w:p w14:paraId="4EFA534E" w14:textId="77777777" w:rsidR="00D34346" w:rsidRPr="00D34346" w:rsidRDefault="00D34346" w:rsidP="00D34346">
      <w:r w:rsidRPr="00D34346">
        <w:rPr>
          <w:i/>
          <w:iCs/>
        </w:rPr>
        <w:t xml:space="preserve">« </w:t>
      </w:r>
      <w:proofErr w:type="gramStart"/>
      <w:r w:rsidRPr="00D34346">
        <w:rPr>
          <w:i/>
          <w:iCs/>
        </w:rPr>
        <w:t>intégrer</w:t>
      </w:r>
      <w:proofErr w:type="gramEnd"/>
      <w:r w:rsidRPr="00D34346">
        <w:rPr>
          <w:i/>
          <w:iCs/>
        </w:rPr>
        <w:t>, construire et reconfigurer des compétences internes et externes pour répondre aux changements de l’environnement »</w:t>
      </w:r>
      <w:r w:rsidRPr="00D34346">
        <w:t>.</w:t>
      </w:r>
    </w:p>
    <w:p w14:paraId="745AA6AF" w14:textId="77777777" w:rsidR="00D34346" w:rsidRPr="00D34346" w:rsidRDefault="00D34346" w:rsidP="00D34346">
      <w:r w:rsidRPr="00D34346">
        <w:t>Trois compétences clés structurent ces capacités :</w:t>
      </w:r>
    </w:p>
    <w:p w14:paraId="54B96F20" w14:textId="77777777" w:rsidR="00D34346" w:rsidRPr="00D34346" w:rsidRDefault="00D34346" w:rsidP="00D34346">
      <w:pPr>
        <w:numPr>
          <w:ilvl w:val="0"/>
          <w:numId w:val="4"/>
        </w:numPr>
      </w:pPr>
      <w:r w:rsidRPr="00D34346">
        <w:lastRenderedPageBreak/>
        <w:t>Sense : détecter les signaux faibles et les évolutions de l’environnement,</w:t>
      </w:r>
    </w:p>
    <w:p w14:paraId="68E8F9A9" w14:textId="77777777" w:rsidR="00D34346" w:rsidRPr="00D34346" w:rsidRDefault="00D34346" w:rsidP="00D34346">
      <w:pPr>
        <w:numPr>
          <w:ilvl w:val="0"/>
          <w:numId w:val="4"/>
        </w:numPr>
      </w:pPr>
      <w:r w:rsidRPr="00D34346">
        <w:t>Seize : saisir les opportunités identifiées,</w:t>
      </w:r>
    </w:p>
    <w:p w14:paraId="4CBEBCD5" w14:textId="77777777" w:rsidR="00D34346" w:rsidRPr="00D34346" w:rsidRDefault="00D34346" w:rsidP="00D34346">
      <w:pPr>
        <w:numPr>
          <w:ilvl w:val="0"/>
          <w:numId w:val="4"/>
        </w:numPr>
      </w:pPr>
      <w:proofErr w:type="spellStart"/>
      <w:r w:rsidRPr="00D34346">
        <w:t>Transform</w:t>
      </w:r>
      <w:proofErr w:type="spellEnd"/>
      <w:r w:rsidRPr="00D34346">
        <w:t xml:space="preserve"> : reconfigurer l’organisation et les ressources.</w:t>
      </w:r>
    </w:p>
    <w:p w14:paraId="4C5F1B8F" w14:textId="77777777" w:rsidR="00D34346" w:rsidRPr="00D34346" w:rsidRDefault="00D34346" w:rsidP="00D34346">
      <w:r w:rsidRPr="00D34346">
        <w:t xml:space="preserve">L’exemple du secteur hospitalier (avis en ligne des patients) a permis d’illustrer concrètement ces mécanismes, en soulignant que l’avantage concurrentiel réside moins dans la réaction ponctuelle que dans la capacité organisationnelle à apprendre et à se transformer </w:t>
      </w:r>
    </w:p>
    <w:p w14:paraId="31C78DC0" w14:textId="77777777" w:rsidR="00D34346" w:rsidRPr="00D34346" w:rsidRDefault="00D34346" w:rsidP="00D34346">
      <w:r w:rsidRPr="00D34346">
        <w:pict w14:anchorId="188804F4">
          <v:rect id="_x0000_i1050" style="width:0;height:1.5pt" o:hralign="center" o:hrstd="t" o:hr="t" fillcolor="#a0a0a0" stroked="f"/>
        </w:pict>
      </w:r>
    </w:p>
    <w:p w14:paraId="4F95DE35" w14:textId="77777777" w:rsidR="00D34346" w:rsidRPr="00D34346" w:rsidRDefault="00D34346" w:rsidP="00D34346">
      <w:r w:rsidRPr="00D34346">
        <w:t>3. Stratégie émergente et actions autonomes</w:t>
      </w:r>
    </w:p>
    <w:p w14:paraId="437A80D4" w14:textId="77777777" w:rsidR="00D34346" w:rsidRPr="00D34346" w:rsidRDefault="00D34346" w:rsidP="00D34346">
      <w:r w:rsidRPr="00D34346">
        <w:t>3.1. De la stratégie prévue à la stratégie réalisée</w:t>
      </w:r>
    </w:p>
    <w:p w14:paraId="4DAD1C3B" w14:textId="77777777" w:rsidR="00D34346" w:rsidRPr="00D34346" w:rsidRDefault="00D34346" w:rsidP="00D34346">
      <w:r w:rsidRPr="00D34346">
        <w:t>Sea a rappelé que la stratégie réalisée résulte de la combinaison :</w:t>
      </w:r>
    </w:p>
    <w:p w14:paraId="0520EDC3" w14:textId="77777777" w:rsidR="00D34346" w:rsidRPr="00D34346" w:rsidRDefault="00D34346" w:rsidP="00D34346">
      <w:pPr>
        <w:numPr>
          <w:ilvl w:val="0"/>
          <w:numId w:val="5"/>
        </w:numPr>
      </w:pPr>
      <w:proofErr w:type="gramStart"/>
      <w:r w:rsidRPr="00D34346">
        <w:t>d’une</w:t>
      </w:r>
      <w:proofErr w:type="gramEnd"/>
      <w:r w:rsidRPr="00D34346">
        <w:t xml:space="preserve"> stratégie délibérée (top-down),</w:t>
      </w:r>
    </w:p>
    <w:p w14:paraId="5B4DFBA6" w14:textId="77777777" w:rsidR="00D34346" w:rsidRPr="00D34346" w:rsidRDefault="00D34346" w:rsidP="00D34346">
      <w:pPr>
        <w:numPr>
          <w:ilvl w:val="0"/>
          <w:numId w:val="5"/>
        </w:numPr>
      </w:pPr>
      <w:proofErr w:type="gramStart"/>
      <w:r w:rsidRPr="00D34346">
        <w:t>et</w:t>
      </w:r>
      <w:proofErr w:type="gramEnd"/>
      <w:r w:rsidRPr="00D34346">
        <w:t xml:space="preserve"> de stratégies émergentes (</w:t>
      </w:r>
      <w:proofErr w:type="spellStart"/>
      <w:r w:rsidRPr="00D34346">
        <w:t>bottom</w:t>
      </w:r>
      <w:proofErr w:type="spellEnd"/>
      <w:r w:rsidRPr="00D34346">
        <w:t>-up) issues d’actions autonomes, de processus d’allocation des ressources et de phénomènes de sérendipité.</w:t>
      </w:r>
    </w:p>
    <w:p w14:paraId="59BBF6C8" w14:textId="77777777" w:rsidR="00D34346" w:rsidRPr="00D34346" w:rsidRDefault="00D34346" w:rsidP="00D34346">
      <w:r w:rsidRPr="00D34346">
        <w:t xml:space="preserve">Cette vision rompt avec une conception strictement séquentielle de la stratégie (analyse → formulation → implémentation) pour insister sur la dimension expérimentale et itérative de l’action stratégique </w:t>
      </w:r>
    </w:p>
    <w:p w14:paraId="22BDB63A" w14:textId="77777777" w:rsidR="00D34346" w:rsidRPr="00D34346" w:rsidRDefault="00D34346" w:rsidP="00D34346">
      <w:r w:rsidRPr="00D34346">
        <w:t>3.2. Actions autonomes et exemples emblématiques</w:t>
      </w:r>
    </w:p>
    <w:p w14:paraId="6304A60F" w14:textId="77777777" w:rsidR="00D34346" w:rsidRPr="00D34346" w:rsidRDefault="00D34346" w:rsidP="00D34346">
      <w:r w:rsidRPr="00D34346">
        <w:t>Deux cas structurants ont été mobilisés :</w:t>
      </w:r>
    </w:p>
    <w:p w14:paraId="4463893B" w14:textId="77777777" w:rsidR="00D34346" w:rsidRPr="00D34346" w:rsidRDefault="00D34346" w:rsidP="00D34346">
      <w:pPr>
        <w:numPr>
          <w:ilvl w:val="0"/>
          <w:numId w:val="6"/>
        </w:numPr>
      </w:pPr>
      <w:r w:rsidRPr="00D34346">
        <w:t xml:space="preserve">Google, avec la règle des </w:t>
      </w:r>
      <w:r w:rsidRPr="00D34346">
        <w:rPr>
          <w:i/>
          <w:iCs/>
        </w:rPr>
        <w:t>20 % de temps libre</w:t>
      </w:r>
      <w:r w:rsidRPr="00D34346">
        <w:t>, à l’origine de projets comme Gmail,</w:t>
      </w:r>
    </w:p>
    <w:p w14:paraId="399478F9" w14:textId="77777777" w:rsidR="00D34346" w:rsidRPr="00D34346" w:rsidRDefault="00D34346" w:rsidP="00D34346">
      <w:pPr>
        <w:numPr>
          <w:ilvl w:val="0"/>
          <w:numId w:val="6"/>
        </w:numPr>
      </w:pPr>
      <w:r w:rsidRPr="00D34346">
        <w:t xml:space="preserve">Starbucks, avec l’histoire de Diana, gérante de magasin, dont l’initiative locale a conduit à la création du </w:t>
      </w:r>
      <w:proofErr w:type="spellStart"/>
      <w:r w:rsidRPr="00D34346">
        <w:t>Frappuccino</w:t>
      </w:r>
      <w:proofErr w:type="spellEnd"/>
      <w:r w:rsidRPr="00D34346">
        <w:t>, aujourd’hui représentant plus de 20 % du chiffre d’affaires.</w:t>
      </w:r>
    </w:p>
    <w:p w14:paraId="0FF1A873" w14:textId="77777777" w:rsidR="00D34346" w:rsidRPr="00D34346" w:rsidRDefault="00D34346" w:rsidP="00D34346">
      <w:r w:rsidRPr="00D34346">
        <w:t>Ces exemples montrent que l’innovation stratégique peut émerger en dehors du top management, à condition que l’organisation :</w:t>
      </w:r>
    </w:p>
    <w:p w14:paraId="44D7FBE6" w14:textId="77777777" w:rsidR="00D34346" w:rsidRPr="00D34346" w:rsidRDefault="00D34346" w:rsidP="00D34346">
      <w:pPr>
        <w:numPr>
          <w:ilvl w:val="0"/>
          <w:numId w:val="7"/>
        </w:numPr>
      </w:pPr>
      <w:proofErr w:type="gramStart"/>
      <w:r w:rsidRPr="00D34346">
        <w:t>tolère</w:t>
      </w:r>
      <w:proofErr w:type="gramEnd"/>
      <w:r w:rsidRPr="00D34346">
        <w:t xml:space="preserve"> l’expérimentation,</w:t>
      </w:r>
    </w:p>
    <w:p w14:paraId="2CE78245" w14:textId="77777777" w:rsidR="00D34346" w:rsidRPr="00D34346" w:rsidRDefault="00D34346" w:rsidP="00D34346">
      <w:pPr>
        <w:numPr>
          <w:ilvl w:val="0"/>
          <w:numId w:val="7"/>
        </w:numPr>
      </w:pPr>
      <w:proofErr w:type="gramStart"/>
      <w:r w:rsidRPr="00D34346">
        <w:t>garantisse</w:t>
      </w:r>
      <w:proofErr w:type="gramEnd"/>
      <w:r w:rsidRPr="00D34346">
        <w:t xml:space="preserve"> une sécurité psychologique,</w:t>
      </w:r>
    </w:p>
    <w:p w14:paraId="487D5121" w14:textId="77777777" w:rsidR="00D34346" w:rsidRPr="00D34346" w:rsidRDefault="00D34346" w:rsidP="00D34346">
      <w:pPr>
        <w:numPr>
          <w:ilvl w:val="0"/>
          <w:numId w:val="7"/>
        </w:numPr>
      </w:pPr>
      <w:proofErr w:type="gramStart"/>
      <w:r w:rsidRPr="00D34346">
        <w:t>et</w:t>
      </w:r>
      <w:proofErr w:type="gramEnd"/>
      <w:r w:rsidRPr="00D34346">
        <w:t xml:space="preserve"> s’appuie sur des champions internes capables de légitimer les initiatives </w:t>
      </w:r>
    </w:p>
    <w:p w14:paraId="4AD1CC61" w14:textId="77777777" w:rsidR="00D34346" w:rsidRPr="00D34346" w:rsidRDefault="00D34346" w:rsidP="00D34346">
      <w:r w:rsidRPr="00D34346">
        <w:t>3.3. Sérendipité et leadership</w:t>
      </w:r>
    </w:p>
    <w:p w14:paraId="6D9A872B" w14:textId="77777777" w:rsidR="00D34346" w:rsidRPr="00D34346" w:rsidRDefault="00D34346" w:rsidP="00D34346">
      <w:r w:rsidRPr="00D34346">
        <w:lastRenderedPageBreak/>
        <w:t>Sea a insisté sur la sérendipité comme ressource stratégique (Post-it, Viagra, chips), tout en soulignant qu’elle ne produit de valeur que si l’organisation sait la reconnaître, l’exploiter et l’institutionnaliser.</w:t>
      </w:r>
    </w:p>
    <w:p w14:paraId="5C4065F8" w14:textId="77777777" w:rsidR="00D34346" w:rsidRPr="00D34346" w:rsidRDefault="00D34346" w:rsidP="00D34346">
      <w:r w:rsidRPr="00D34346">
        <w:t>Le rôle du leadership devient alors central : non pas contrôler, mais soutenir, accompagner et arbitrer les stratégies émergentes.</w:t>
      </w:r>
    </w:p>
    <w:p w14:paraId="2D94C3EB" w14:textId="4E2DE514" w:rsidR="00D34346" w:rsidRPr="00D34346" w:rsidRDefault="00D34346" w:rsidP="00D34346"/>
    <w:p w14:paraId="3F2CECA2" w14:textId="77777777" w:rsidR="00D34346" w:rsidRPr="00D34346" w:rsidRDefault="00D34346" w:rsidP="00D34346">
      <w:r w:rsidRPr="00D34346">
        <w:t>4. Intégration finale : le cadre AFI</w:t>
      </w:r>
    </w:p>
    <w:p w14:paraId="397EC9A9" w14:textId="77777777" w:rsidR="00D34346" w:rsidRPr="00D34346" w:rsidRDefault="00D34346" w:rsidP="00D34346">
      <w:r w:rsidRPr="00D34346">
        <w:t>En conclusion, Sea a rappelé le cadre AFI (</w:t>
      </w:r>
      <w:proofErr w:type="spellStart"/>
      <w:r w:rsidRPr="00D34346">
        <w:t>Rothaermel</w:t>
      </w:r>
      <w:proofErr w:type="spellEnd"/>
      <w:r w:rsidRPr="00D34346">
        <w:t>) comme colonne vertébrale du management stratégique :</w:t>
      </w:r>
    </w:p>
    <w:p w14:paraId="500B24D2" w14:textId="77777777" w:rsidR="00D34346" w:rsidRPr="00D34346" w:rsidRDefault="00D34346" w:rsidP="00D34346">
      <w:pPr>
        <w:numPr>
          <w:ilvl w:val="0"/>
          <w:numId w:val="8"/>
        </w:numPr>
      </w:pPr>
      <w:r w:rsidRPr="00D34346">
        <w:t>Analyse : externe et interne, orientée vers le futur, fondée sur l’esprit critique et le questionnement du statu quo,</w:t>
      </w:r>
    </w:p>
    <w:p w14:paraId="5690709E" w14:textId="77777777" w:rsidR="00D34346" w:rsidRPr="00D34346" w:rsidRDefault="00D34346" w:rsidP="00D34346">
      <w:pPr>
        <w:numPr>
          <w:ilvl w:val="0"/>
          <w:numId w:val="8"/>
        </w:numPr>
      </w:pPr>
      <w:r w:rsidRPr="00D34346">
        <w:t>Formulation : arbitrages stratégiques sans “bonne réponse unique”, intégrant scénarios, alliances, innovation et création de valeur partagée,</w:t>
      </w:r>
    </w:p>
    <w:p w14:paraId="7E3D3F8D" w14:textId="77777777" w:rsidR="00D34346" w:rsidRPr="00D34346" w:rsidRDefault="00D34346" w:rsidP="00D34346">
      <w:pPr>
        <w:numPr>
          <w:ilvl w:val="0"/>
          <w:numId w:val="8"/>
        </w:numPr>
      </w:pPr>
      <w:r w:rsidRPr="00D34346">
        <w:t>Implémentation : principale source d’échec des stratégies, nécessitant communication, clarté décisionnelle et encouragement des initiatives locales.</w:t>
      </w:r>
    </w:p>
    <w:p w14:paraId="0EBC027B" w14:textId="77777777" w:rsidR="00D34346" w:rsidRPr="00D34346" w:rsidRDefault="00D34346" w:rsidP="00D34346">
      <w:r w:rsidRPr="00D34346">
        <w:t xml:space="preserve">Cette approche a été reliée à une métaphore darwinienne : la performance dépend moins de la force que de la capacité d’adaptation au changement </w:t>
      </w:r>
    </w:p>
    <w:p w14:paraId="5DABBE59" w14:textId="77777777" w:rsidR="00D34346" w:rsidRPr="00D34346" w:rsidRDefault="00D34346" w:rsidP="00D34346">
      <w:r w:rsidRPr="00D34346">
        <w:pict w14:anchorId="765B023B">
          <v:rect id="_x0000_i1052" style="width:0;height:1.5pt" o:hralign="center" o:hrstd="t" o:hr="t" fillcolor="#a0a0a0" stroked="f"/>
        </w:pict>
      </w:r>
    </w:p>
    <w:p w14:paraId="20B2375F" w14:textId="77777777" w:rsidR="00D34346" w:rsidRPr="00D34346" w:rsidRDefault="00D34346" w:rsidP="00D34346">
      <w:r w:rsidRPr="00D34346">
        <w:t>5. Retours méthodologiques sur les travaux étudiants</w:t>
      </w:r>
    </w:p>
    <w:p w14:paraId="70030596" w14:textId="77777777" w:rsidR="00D34346" w:rsidRPr="00D34346" w:rsidRDefault="00D34346" w:rsidP="00D34346">
      <w:r w:rsidRPr="00D34346">
        <w:t>Sea a conclu par un retour exigeant sur les rapports d’analyse stratégique :</w:t>
      </w:r>
    </w:p>
    <w:p w14:paraId="3EFA2FAC" w14:textId="77777777" w:rsidR="00D34346" w:rsidRPr="00D34346" w:rsidRDefault="00D34346" w:rsidP="00D34346">
      <w:pPr>
        <w:numPr>
          <w:ilvl w:val="0"/>
          <w:numId w:val="9"/>
        </w:numPr>
      </w:pPr>
      <w:proofErr w:type="gramStart"/>
      <w:r w:rsidRPr="00D34346">
        <w:t>importance</w:t>
      </w:r>
      <w:proofErr w:type="gramEnd"/>
      <w:r w:rsidRPr="00D34346">
        <w:t xml:space="preserve"> de la traçabilité des sources et de leur collecte dès le début,</w:t>
      </w:r>
    </w:p>
    <w:p w14:paraId="1F03ADC8" w14:textId="77777777" w:rsidR="00D34346" w:rsidRDefault="00D34346" w:rsidP="00D34346">
      <w:pPr>
        <w:numPr>
          <w:ilvl w:val="0"/>
          <w:numId w:val="9"/>
        </w:numPr>
      </w:pPr>
      <w:proofErr w:type="gramStart"/>
      <w:r w:rsidRPr="00D34346">
        <w:t>nécessité</w:t>
      </w:r>
      <w:proofErr w:type="gramEnd"/>
      <w:r w:rsidRPr="00D34346">
        <w:t xml:space="preserve"> de justifier chaque affirmation factuelle,</w:t>
      </w:r>
    </w:p>
    <w:p w14:paraId="676D9323" w14:textId="41D0E448" w:rsidR="00D34346" w:rsidRPr="00D34346" w:rsidRDefault="00D34346" w:rsidP="00D34346">
      <w:pPr>
        <w:numPr>
          <w:ilvl w:val="0"/>
          <w:numId w:val="9"/>
        </w:numPr>
      </w:pPr>
      <w:r>
        <w:t xml:space="preserve">Mettre titre </w:t>
      </w:r>
      <w:proofErr w:type="spellStart"/>
      <w:r>
        <w:t>numeroté</w:t>
      </w:r>
      <w:proofErr w:type="spellEnd"/>
      <w:r>
        <w:t xml:space="preserve"> et source pour chaque figure</w:t>
      </w:r>
    </w:p>
    <w:p w14:paraId="6B2E9264" w14:textId="77777777" w:rsidR="00D34346" w:rsidRPr="00D34346" w:rsidRDefault="00D34346" w:rsidP="00D34346">
      <w:pPr>
        <w:numPr>
          <w:ilvl w:val="0"/>
          <w:numId w:val="9"/>
        </w:numPr>
      </w:pPr>
      <w:proofErr w:type="gramStart"/>
      <w:r w:rsidRPr="00D34346">
        <w:t>vigilance</w:t>
      </w:r>
      <w:proofErr w:type="gramEnd"/>
      <w:r w:rsidRPr="00D34346">
        <w:t xml:space="preserve"> sur l’usage précis des concepts (océan bleu, complémenteurs, Porter vs Barney),</w:t>
      </w:r>
    </w:p>
    <w:p w14:paraId="74B30421" w14:textId="77777777" w:rsidR="00D34346" w:rsidRPr="00D34346" w:rsidRDefault="00D34346" w:rsidP="00D34346">
      <w:pPr>
        <w:numPr>
          <w:ilvl w:val="0"/>
          <w:numId w:val="9"/>
        </w:numPr>
      </w:pPr>
      <w:proofErr w:type="gramStart"/>
      <w:r w:rsidRPr="00D34346">
        <w:t>invitation</w:t>
      </w:r>
      <w:proofErr w:type="gramEnd"/>
      <w:r w:rsidRPr="00D34346">
        <w:t xml:space="preserve"> explicite à discuter les limites de l’analyse (données, méthode, généralisation).</w:t>
      </w:r>
    </w:p>
    <w:p w14:paraId="12B2654B" w14:textId="77777777" w:rsidR="00D34346" w:rsidRPr="00D34346" w:rsidRDefault="00D34346" w:rsidP="00D34346">
      <w:r w:rsidRPr="00D34346">
        <w:t xml:space="preserve">L’esprit critique a été rappelé comme une compétence centrale du management stratégique, en cohérence avec les valeurs académiques de </w:t>
      </w:r>
      <w:proofErr w:type="spellStart"/>
      <w:r w:rsidRPr="00D34346">
        <w:t>MoMA</w:t>
      </w:r>
      <w:proofErr w:type="spellEnd"/>
      <w:r w:rsidRPr="00D34346">
        <w:t>.</w:t>
      </w:r>
    </w:p>
    <w:p w14:paraId="1F7DFCD8" w14:textId="77777777" w:rsidR="00D34346" w:rsidRPr="00D34346" w:rsidRDefault="00D34346" w:rsidP="00D34346"/>
    <w:sectPr w:rsidR="00D34346" w:rsidRPr="00D34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07973"/>
    <w:multiLevelType w:val="multilevel"/>
    <w:tmpl w:val="FFE21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614D23"/>
    <w:multiLevelType w:val="multilevel"/>
    <w:tmpl w:val="DE9EE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B087DB3"/>
    <w:multiLevelType w:val="multilevel"/>
    <w:tmpl w:val="37169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DD6F16"/>
    <w:multiLevelType w:val="multilevel"/>
    <w:tmpl w:val="E9DC50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3077A0"/>
    <w:multiLevelType w:val="multilevel"/>
    <w:tmpl w:val="F59C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9355F8"/>
    <w:multiLevelType w:val="multilevel"/>
    <w:tmpl w:val="89C84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FD4EE2"/>
    <w:multiLevelType w:val="multilevel"/>
    <w:tmpl w:val="CFE4D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89C6BA0"/>
    <w:multiLevelType w:val="multilevel"/>
    <w:tmpl w:val="68E470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9C71D07"/>
    <w:multiLevelType w:val="multilevel"/>
    <w:tmpl w:val="9FF62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2866622">
    <w:abstractNumId w:val="5"/>
  </w:num>
  <w:num w:numId="2" w16cid:durableId="1769961274">
    <w:abstractNumId w:val="0"/>
  </w:num>
  <w:num w:numId="3" w16cid:durableId="1061246634">
    <w:abstractNumId w:val="2"/>
  </w:num>
  <w:num w:numId="4" w16cid:durableId="62413578">
    <w:abstractNumId w:val="8"/>
  </w:num>
  <w:num w:numId="5" w16cid:durableId="906380522">
    <w:abstractNumId w:val="6"/>
  </w:num>
  <w:num w:numId="6" w16cid:durableId="1152940118">
    <w:abstractNumId w:val="1"/>
  </w:num>
  <w:num w:numId="7" w16cid:durableId="1676498621">
    <w:abstractNumId w:val="4"/>
  </w:num>
  <w:num w:numId="8" w16cid:durableId="34547508">
    <w:abstractNumId w:val="7"/>
  </w:num>
  <w:num w:numId="9" w16cid:durableId="3407442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4346"/>
    <w:rsid w:val="00051E7C"/>
    <w:rsid w:val="00D343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35A3C"/>
  <w15:chartTrackingRefBased/>
  <w15:docId w15:val="{A28219DB-A75B-4D56-9038-9ABC943B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D343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D343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343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D343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343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D343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D343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D343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D343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D343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D343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D343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D3434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D3434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D3434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D3434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D3434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D3434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D343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D343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D343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D343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D343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D3434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D3434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D3434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D343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D3434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D34346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D34346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D343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755</Words>
  <Characters>4420</Characters>
  <Application>Microsoft Office Word</Application>
  <DocSecurity>0</DocSecurity>
  <Lines>74</Lines>
  <Paragraphs>25</Paragraphs>
  <ScaleCrop>false</ScaleCrop>
  <Company/>
  <LinksUpToDate>false</LinksUpToDate>
  <CharactersWithSpaces>5150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 Bez</dc:creator>
  <cp:keywords/>
  <dc:description/>
  <cp:lastModifiedBy>Sea Bez</cp:lastModifiedBy>
  <cp:revision>1</cp:revision>
  <dcterms:created xsi:type="dcterms:W3CDTF">2026-01-16T18:04:00Z</dcterms:created>
  <dcterms:modified xsi:type="dcterms:W3CDTF">2026-01-16T18:15:00Z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60707a57-f8d8-4506-9ccc-787fe7dd220e</vt:lpwstr>
  </property>
</Properties>
</file>