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0" w:before="0" w:lineRule="auto"/>
        <w:rPr>
          <w:rFonts w:ascii="Merriweather" w:cs="Merriweather" w:eastAsia="Merriweather" w:hAnsi="Merriweather"/>
          <w:b w:val="1"/>
          <w:color w:val="ff9900"/>
          <w:sz w:val="24"/>
          <w:szCs w:val="24"/>
        </w:rPr>
      </w:pPr>
      <w:bookmarkStart w:colFirst="0" w:colLast="0" w:name="_hnwdhzm7dpfp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114300</wp:posOffset>
            </wp:positionV>
            <wp:extent cx="983833" cy="983833"/>
            <wp:effectExtent b="0" l="0" r="0" t="0"/>
            <wp:wrapNone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3833" cy="9838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Merriweather" w:cs="Merriweather" w:eastAsia="Merriweather" w:hAnsi="Merriweather"/>
          <w:color w:val="b2a291"/>
        </w:rPr>
      </w:pPr>
      <w:r w:rsidDel="00000000" w:rsidR="00000000" w:rsidRPr="00000000">
        <w:rPr>
          <w:rtl w:val="0"/>
        </w:rPr>
        <w:t xml:space="preserve">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b2a291"/>
          <w:rtl w:val="0"/>
        </w:rPr>
        <w:t xml:space="preserve">COURTINE Cassandra, NURY Camille, CAPIEZ Zoé</w:t>
      </w:r>
    </w:p>
    <w:p w:rsidR="00000000" w:rsidDel="00000000" w:rsidP="00000000" w:rsidRDefault="00000000" w:rsidRPr="00000000" w14:paraId="00000005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b w:val="1"/>
          <w:color w:val="734c2b"/>
          <w:sz w:val="60"/>
          <w:szCs w:val="60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734c2b"/>
          <w:sz w:val="60"/>
          <w:szCs w:val="60"/>
          <w:rtl w:val="0"/>
        </w:rPr>
        <w:t xml:space="preserve">Bilan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</w:rPr>
        <w:drawing>
          <wp:inline distB="114300" distT="114300" distL="114300" distR="114300">
            <wp:extent cx="5731200" cy="3238500"/>
            <wp:effectExtent b="0" l="0" r="0" t="0"/>
            <wp:docPr id="2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righ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Fonts w:ascii="Merriweather" w:cs="Merriweather" w:eastAsia="Merriweather" w:hAnsi="Merriweather"/>
          <w:color w:val="b2a291"/>
          <w:rtl w:val="0"/>
        </w:rPr>
        <w:t xml:space="preserve">Licence RH, IUT Montpellier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933700"/>
            <wp:effectExtent b="0" l="0" r="0" t="0"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962400"/>
            <wp:effectExtent b="0" l="0" r="0" t="0"/>
            <wp:docPr id="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4203700"/>
            <wp:effectExtent b="0" l="0" r="0" t="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4533900"/>
            <wp:effectExtent b="0" l="0" r="0" t="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035300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Pour cette première pyramide des âges selon le sexe, nous pouvons associer cette forme à la Toupie,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ce qui est le signe que l’entreprise a massivement embauché pour des raisons conjoncturelles (développement rapide, croissance du marché, aubaine fiscale…). À long terme, si le départ rapide des tranches les plus nombreuses permet l’embauche de jeunes salariés, il cause aussi une perte de compétences et de savoir-faire. Cette forme permet aussi de disposer de salariés en surnombre et de pouvoir construire une politique de carrière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70510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Concernant cette seconde pyramide des âges en fonction de l’ancienneté, nous pouvons associer cette forme à la poire écrasée, ce qui signifie que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l’entreprise a cessé de recruter pendant de longues années. Le risque de perte de compétences est important puisque la plupart des salariés n’ont que maximum 10 ans d’ancienneté.</w:t>
      </w:r>
    </w:p>
    <w:p w:rsidR="00000000" w:rsidDel="00000000" w:rsidP="00000000" w:rsidRDefault="00000000" w:rsidRPr="00000000" w14:paraId="00000031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Pour arriver à mieux comprendre la situation de l’entreprise nous avons traduit les tableaux en pourcentage puis nous avons fait des graphiques à partir de ces éléments pour avoir une vision plus claire de ce que représentent les statuts, les sexes, l'absentéisme ainsi que les salaires.</w:t>
      </w:r>
    </w:p>
    <w:p w:rsidR="00000000" w:rsidDel="00000000" w:rsidP="00000000" w:rsidRDefault="00000000" w:rsidRPr="00000000" w14:paraId="00000033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3944173</wp:posOffset>
            </wp:positionH>
            <wp:positionV relativeFrom="page">
              <wp:posOffset>2643188</wp:posOffset>
            </wp:positionV>
            <wp:extent cx="2700338" cy="1534553"/>
            <wp:effectExtent b="0" l="0" r="0" t="0"/>
            <wp:wrapSquare wrapText="bothSides" distB="0" distT="0" distL="0" distR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5345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25"/>
        <w:gridCol w:w="1635"/>
        <w:gridCol w:w="1260"/>
        <w:tblGridChange w:id="0">
          <w:tblGrid>
            <w:gridCol w:w="1425"/>
            <w:gridCol w:w="1635"/>
            <w:gridCol w:w="1260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 statuts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i w:val="1"/>
                <w:sz w:val="20"/>
                <w:szCs w:val="20"/>
                <w:highlight w:val="white"/>
                <w:rtl w:val="0"/>
              </w:rPr>
              <w:t xml:space="preserve">Statuts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i w:val="1"/>
                <w:sz w:val="20"/>
                <w:szCs w:val="20"/>
                <w:highlight w:val="white"/>
                <w:rtl w:val="0"/>
              </w:rPr>
              <w:t xml:space="preserve">Données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i w:val="1"/>
                <w:sz w:val="20"/>
                <w:szCs w:val="20"/>
                <w:highlight w:val="whit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 : Ouvriers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46%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 : Employés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 : Cadres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4 : Directeurs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jc w:val="righ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3810823</wp:posOffset>
            </wp:positionH>
            <wp:positionV relativeFrom="page">
              <wp:posOffset>5081588</wp:posOffset>
            </wp:positionV>
            <wp:extent cx="2882402" cy="1390455"/>
            <wp:effectExtent b="0" l="0" r="0" t="0"/>
            <wp:wrapSquare wrapText="bothSides" distB="0" distT="0" distL="0" distR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2402" cy="1390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4320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60"/>
        <w:gridCol w:w="915"/>
        <w:gridCol w:w="1845"/>
        <w:tblGridChange w:id="0">
          <w:tblGrid>
            <w:gridCol w:w="1560"/>
            <w:gridCol w:w="915"/>
            <w:gridCol w:w="1845"/>
          </w:tblGrid>
        </w:tblGridChange>
      </w:tblGrid>
      <w:tr>
        <w:trPr>
          <w:cantSplit w:val="0"/>
          <w:trHeight w:val="389.477539062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Répartition âge en pourcentage</w:t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Âge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Effectif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gridSpan w:val="3"/>
            <w:vMerge w:val="restart"/>
            <w:tcMar>
              <w:top w:w="20.0" w:type="dxa"/>
              <w:left w:w="20.0" w:type="dxa"/>
              <w:bottom w:w="100.0" w:type="dxa"/>
              <w:right w:w="2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ind w:right="-5079.330708661417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.4775390625" w:hRule="atLeast"/>
          <w:tblHeader w:val="0"/>
        </w:trPr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Les âges ne varient pas beaucoup étant donné que la tranche des 35 ans et des 45 ans représente tous les deux 35% ainsi que les tranches de 55 ans et 55 et plus représente tous les deux aussi 13% il y a que les 25 ans qui sont très peu avec seulement 5% de personnes de cet âge la sur 80 salariés.</w:t>
      </w:r>
    </w:p>
    <w:p w:rsidR="00000000" w:rsidDel="00000000" w:rsidP="00000000" w:rsidRDefault="00000000" w:rsidRPr="00000000" w14:paraId="0000007A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3857625</wp:posOffset>
            </wp:positionH>
            <wp:positionV relativeFrom="page">
              <wp:posOffset>1531525</wp:posOffset>
            </wp:positionV>
            <wp:extent cx="2993140" cy="1564835"/>
            <wp:effectExtent b="0" l="0" r="0" t="0"/>
            <wp:wrapSquare wrapText="bothSides" distB="0" distT="0" distL="0" distR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3140" cy="1564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4305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10"/>
        <w:gridCol w:w="1635"/>
        <w:gridCol w:w="1260"/>
        <w:tblGridChange w:id="0">
          <w:tblGrid>
            <w:gridCol w:w="1410"/>
            <w:gridCol w:w="1635"/>
            <w:gridCol w:w="1260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Répartition pourcentage ancienneté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.477539062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Ancienneté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Effectif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&gt;35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dce6f1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Concernant l'ancienneté dans l'entreprise, beaucoup ont 15 ans d'ancienneté (35%), par la suite viens les salarié avec 5 ans d'ancienneté qui représente 25% ce qui fait que peu de salarié sont depuis longtemps dans l'entreprise car seulement 8% des salarié ont plus de 35 ans d'ancienneté.</w:t>
      </w:r>
    </w:p>
    <w:p w:rsidR="00000000" w:rsidDel="00000000" w:rsidP="00000000" w:rsidRDefault="00000000" w:rsidRPr="00000000" w14:paraId="0000009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5205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05"/>
        <w:gridCol w:w="840"/>
        <w:gridCol w:w="1290"/>
        <w:gridCol w:w="930"/>
        <w:gridCol w:w="1140"/>
        <w:tblGridChange w:id="0">
          <w:tblGrid>
            <w:gridCol w:w="1005"/>
            <w:gridCol w:w="840"/>
            <w:gridCol w:w="1290"/>
            <w:gridCol w:w="930"/>
            <w:gridCol w:w="1140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Répartition par sexe et statut en pourcentage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Statut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Homme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Femme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ouvriers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43%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50%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employés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cadres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directeurs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043238" cy="1400175"/>
            <wp:effectExtent b="0" l="0" r="0" t="0"/>
            <wp:wrapSquare wrapText="bothSides" distB="0" distT="0" distL="0" distR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1400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Dans ce graphiques ont peux remarquer qu'il y a plus de femme ouvriers que d'hommes (50% contre 48%) tous comme il y a plus de femme employés que d'hommes (34% contre 26%). Enfin concernant les cadres et les directeurs, les hommes sont plus importants avec 24% pour les cadres contre 13% pour les femmes et 7% pour le statut de directeurs contre 3% pour les femmes ce qui est peu.</w:t>
      </w:r>
    </w:p>
    <w:p w:rsidR="00000000" w:rsidDel="00000000" w:rsidP="00000000" w:rsidRDefault="00000000" w:rsidRPr="00000000" w14:paraId="000000C5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2862263</wp:posOffset>
            </wp:positionH>
            <wp:positionV relativeFrom="paragraph">
              <wp:posOffset>247650</wp:posOffset>
            </wp:positionV>
            <wp:extent cx="2624138" cy="1619250"/>
            <wp:effectExtent b="0" l="0" r="0" t="0"/>
            <wp:wrapSquare wrapText="bothSides" distB="114300" distT="114300" distL="114300" distR="11430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5"/>
        <w:tblW w:w="3405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95"/>
        <w:gridCol w:w="795"/>
        <w:gridCol w:w="1215"/>
        <w:tblGridChange w:id="0">
          <w:tblGrid>
            <w:gridCol w:w="1395"/>
            <w:gridCol w:w="795"/>
            <w:gridCol w:w="1215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 sexe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Effectif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Homme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45%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Femme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55%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Dans cette entreprise les femmes représentent la majorité avec 55% à comparer des hommes qui représentent 45%. Ce n'est pas un grand écart.</w:t>
      </w:r>
    </w:p>
    <w:p w:rsidR="00000000" w:rsidDel="00000000" w:rsidP="00000000" w:rsidRDefault="00000000" w:rsidRPr="00000000" w14:paraId="000000DB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3781425</wp:posOffset>
            </wp:positionH>
            <wp:positionV relativeFrom="page">
              <wp:posOffset>4130520</wp:posOffset>
            </wp:positionV>
            <wp:extent cx="2904761" cy="1619250"/>
            <wp:effectExtent b="0" l="0" r="0" t="0"/>
            <wp:wrapSquare wrapText="bothSides" distB="0" distT="0" distL="0" distR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4761" cy="161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6"/>
        <w:tblW w:w="3825.0" w:type="dxa"/>
        <w:jc w:val="left"/>
        <w:tblInd w:w="2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75"/>
        <w:gridCol w:w="1620"/>
        <w:gridCol w:w="1230"/>
        <w:tblGridChange w:id="0">
          <w:tblGrid>
            <w:gridCol w:w="975"/>
            <w:gridCol w:w="1620"/>
            <w:gridCol w:w="1230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Absentéisme pourcentage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Statut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Nombre absent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Pourcentage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ouvriers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64%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employés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cadres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directeurs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dce6f1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578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0.0" w:type="dxa"/>
              <w:left w:w="20.0" w:type="dxa"/>
              <w:bottom w:w="100.0" w:type="dxa"/>
              <w:right w:w="20.0" w:type="dxa"/>
            </w:tcMar>
            <w:vAlign w:val="bottom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Pour l'absentéisme dans l'entreprise le statut qui obtient largement le pourcentage le plus élevé est celui des ouvriers avec 64%, on peut en déduire que les conditions de travail sont sûrement mauvaises . En revanche les cadres représentent seulement 1% dans les pourcentage d'absentéisme ce qui est positif pour l'entreprise car cela montre que ce sont des cadres investis et sérieux pour assurer un bon fonctionnement de celle-ci. Les employés ont aussi un pourcentage élevé de 30% contre 5% pour les directeurs ce qui montre leur sérieux également.</w:t>
      </w:r>
    </w:p>
    <w:p w:rsidR="00000000" w:rsidDel="00000000" w:rsidP="00000000" w:rsidRDefault="00000000" w:rsidRPr="00000000" w14:paraId="000000F5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909888" cy="771525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77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638425" cy="2100263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00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Pour la rémunération en entreprise concernant les femmes, nous pouvons voir que ce sont les ouvrières les plus rémunérées (40%)  et les directrices les moins rémunérées (9%) ce qui est logique car les ouvrières sont plus nombreuses que les directrices au sein de l’entreprise.</w:t>
      </w:r>
    </w:p>
    <w:p w:rsidR="00000000" w:rsidDel="00000000" w:rsidP="00000000" w:rsidRDefault="00000000" w:rsidRPr="00000000" w14:paraId="00000104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025255" cy="817383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5255" cy="817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562225" cy="2141358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41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Concernant la rémunération des hommes, nous pouvons voir que celle-ci est assez bien répartie, ce qui nous laisse croire qu’il y autant de directeurs, que d’employés, que d’ouvriers et que de cadres ou bien que la différence de salaire entre les ouvriers (28%) et les directeurs (24%) est importante; ce qui est le cas ici puisque il y a beaucoup moins de directeurs que d’ouvriers.</w:t>
      </w:r>
    </w:p>
    <w:p w:rsidR="00000000" w:rsidDel="00000000" w:rsidP="00000000" w:rsidRDefault="00000000" w:rsidRPr="00000000" w14:paraId="0000010B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595563" cy="754738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75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998284" cy="1989516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8284" cy="1989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Ici on peut voir que le plus grand nombre de sorties est dû à des démissions ce qui peut nous laisser penser que les conditions de travail ne sont pas exemplaires. 31% des sorties sont des licenciements non économiques ce qui montrent que l’entreprise a assez de ressources pour garder ses employés. Cette supposition est certifiée puisque le pourcentage des licences économiques est égal à 0. </w:t>
      </w:r>
    </w:p>
    <w:p w:rsidR="00000000" w:rsidDel="00000000" w:rsidP="00000000" w:rsidRDefault="00000000" w:rsidRPr="00000000" w14:paraId="00000116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footerReference r:id="rId2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7.png"/><Relationship Id="rId21" Type="http://schemas.openxmlformats.org/officeDocument/2006/relationships/image" Target="media/image8.png"/><Relationship Id="rId24" Type="http://schemas.openxmlformats.org/officeDocument/2006/relationships/image" Target="media/image11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footer" Target="footer1.xml"/><Relationship Id="rId25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9.png"/><Relationship Id="rId8" Type="http://schemas.openxmlformats.org/officeDocument/2006/relationships/image" Target="media/image16.png"/><Relationship Id="rId11" Type="http://schemas.openxmlformats.org/officeDocument/2006/relationships/image" Target="media/image18.png"/><Relationship Id="rId10" Type="http://schemas.openxmlformats.org/officeDocument/2006/relationships/image" Target="media/image17.png"/><Relationship Id="rId13" Type="http://schemas.openxmlformats.org/officeDocument/2006/relationships/image" Target="media/image12.png"/><Relationship Id="rId12" Type="http://schemas.openxmlformats.org/officeDocument/2006/relationships/image" Target="media/image13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7" Type="http://schemas.openxmlformats.org/officeDocument/2006/relationships/image" Target="media/image9.png"/><Relationship Id="rId16" Type="http://schemas.openxmlformats.org/officeDocument/2006/relationships/image" Target="media/image2.png"/><Relationship Id="rId19" Type="http://schemas.openxmlformats.org/officeDocument/2006/relationships/image" Target="media/image5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