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23597" w14:textId="1CFFF116" w:rsidR="009D5A52" w:rsidRPr="009D5A52" w:rsidRDefault="009D5A52" w:rsidP="009D5A52">
      <w:pPr>
        <w:pStyle w:val="western"/>
        <w:spacing w:before="0" w:beforeAutospacing="0" w:after="0" w:line="360" w:lineRule="auto"/>
        <w:jc w:val="center"/>
        <w:rPr>
          <w:rFonts w:asciiTheme="minorHAnsi" w:hAnsiTheme="minorHAnsi" w:cstheme="minorHAnsi"/>
          <w:b/>
          <w:bCs/>
          <w:sz w:val="24"/>
          <w:szCs w:val="24"/>
        </w:rPr>
      </w:pPr>
      <w:r w:rsidRPr="009D5A52">
        <w:rPr>
          <w:rFonts w:asciiTheme="minorHAnsi" w:hAnsiTheme="minorHAnsi" w:cstheme="minorHAnsi"/>
          <w:b/>
          <w:bCs/>
          <w:sz w:val="24"/>
          <w:szCs w:val="24"/>
        </w:rPr>
        <w:t>Enseigner l’écriture au cycle 3</w:t>
      </w:r>
    </w:p>
    <w:p w14:paraId="6FFDAAA0" w14:textId="504CA9EA" w:rsidR="009D5A52" w:rsidRPr="009D5A52" w:rsidRDefault="009D5A52" w:rsidP="009D5A52">
      <w:pPr>
        <w:pStyle w:val="western"/>
        <w:spacing w:before="0" w:beforeAutospacing="0" w:after="0" w:line="360" w:lineRule="auto"/>
        <w:rPr>
          <w:rFonts w:asciiTheme="minorHAnsi" w:hAnsiTheme="minorHAnsi" w:cstheme="minorHAnsi"/>
          <w:b/>
          <w:bCs/>
          <w:sz w:val="24"/>
          <w:szCs w:val="24"/>
        </w:rPr>
      </w:pPr>
      <w:r w:rsidRPr="009D5A52">
        <w:rPr>
          <w:rFonts w:asciiTheme="minorHAnsi" w:hAnsiTheme="minorHAnsi" w:cstheme="minorHAnsi"/>
          <w:b/>
          <w:bCs/>
          <w:sz w:val="24"/>
          <w:szCs w:val="24"/>
        </w:rPr>
        <w:t>Documents</w:t>
      </w:r>
    </w:p>
    <w:p w14:paraId="48CEB222" w14:textId="698D6236" w:rsidR="00B56130" w:rsidRPr="00E504AE" w:rsidRDefault="00B56130" w:rsidP="009D5A52">
      <w:pPr>
        <w:pStyle w:val="western"/>
        <w:spacing w:before="0" w:beforeAutospacing="0" w:after="0" w:line="360" w:lineRule="auto"/>
        <w:ind w:firstLine="284"/>
        <w:rPr>
          <w:rFonts w:asciiTheme="minorHAnsi" w:hAnsiTheme="minorHAnsi" w:cstheme="minorHAnsi"/>
          <w:sz w:val="24"/>
          <w:szCs w:val="24"/>
        </w:rPr>
      </w:pPr>
      <w:r w:rsidRPr="00E504AE">
        <w:rPr>
          <w:rFonts w:asciiTheme="minorHAnsi" w:hAnsiTheme="minorHAnsi" w:cstheme="minorHAnsi"/>
          <w:sz w:val="24"/>
          <w:szCs w:val="24"/>
        </w:rPr>
        <w:t xml:space="preserve">Les documents </w:t>
      </w:r>
      <w:r w:rsidRPr="00E504AE">
        <w:rPr>
          <w:rFonts w:asciiTheme="minorHAnsi" w:hAnsiTheme="minorHAnsi" w:cstheme="minorHAnsi"/>
          <w:sz w:val="24"/>
          <w:szCs w:val="24"/>
        </w:rPr>
        <w:t xml:space="preserve">A et B </w:t>
      </w:r>
      <w:r w:rsidRPr="00E504AE">
        <w:rPr>
          <w:rFonts w:asciiTheme="minorHAnsi" w:hAnsiTheme="minorHAnsi" w:cstheme="minorHAnsi"/>
          <w:sz w:val="24"/>
          <w:szCs w:val="24"/>
        </w:rPr>
        <w:t xml:space="preserve">ci-dessous sont tirés de l’ouvrage de B. </w:t>
      </w:r>
      <w:proofErr w:type="spellStart"/>
      <w:r w:rsidRPr="00E504AE">
        <w:rPr>
          <w:rFonts w:asciiTheme="minorHAnsi" w:hAnsiTheme="minorHAnsi" w:cstheme="minorHAnsi"/>
          <w:sz w:val="24"/>
          <w:szCs w:val="24"/>
        </w:rPr>
        <w:t>Devanne</w:t>
      </w:r>
      <w:proofErr w:type="spellEnd"/>
      <w:r w:rsidRPr="00E504AE">
        <w:rPr>
          <w:rFonts w:asciiTheme="minorHAnsi" w:hAnsiTheme="minorHAnsi" w:cstheme="minorHAnsi"/>
          <w:sz w:val="24"/>
          <w:szCs w:val="24"/>
        </w:rPr>
        <w:t xml:space="preserve">, </w:t>
      </w:r>
      <w:r w:rsidRPr="00E504AE">
        <w:rPr>
          <w:rFonts w:asciiTheme="minorHAnsi" w:hAnsiTheme="minorHAnsi" w:cstheme="minorHAnsi"/>
          <w:i/>
          <w:iCs/>
          <w:sz w:val="24"/>
          <w:szCs w:val="24"/>
        </w:rPr>
        <w:t>Lire et écrire. Des apprentissages culturels</w:t>
      </w:r>
      <w:r w:rsidRPr="00E504AE">
        <w:rPr>
          <w:rFonts w:asciiTheme="minorHAnsi" w:hAnsiTheme="minorHAnsi" w:cstheme="minorHAnsi"/>
          <w:sz w:val="24"/>
          <w:szCs w:val="24"/>
        </w:rPr>
        <w:t>, Armand Colin - Bordas, 2000, t. 2. Il s’agit de :</w:t>
      </w:r>
    </w:p>
    <w:p w14:paraId="3C949E84" w14:textId="77777777" w:rsidR="00B56130" w:rsidRPr="00E504AE" w:rsidRDefault="00B56130" w:rsidP="009D5A52">
      <w:pPr>
        <w:pStyle w:val="western"/>
        <w:numPr>
          <w:ilvl w:val="0"/>
          <w:numId w:val="1"/>
        </w:numPr>
        <w:spacing w:before="0" w:beforeAutospacing="0" w:after="0" w:line="360" w:lineRule="auto"/>
        <w:rPr>
          <w:rFonts w:asciiTheme="minorHAnsi" w:hAnsiTheme="minorHAnsi" w:cstheme="minorHAnsi"/>
          <w:sz w:val="24"/>
          <w:szCs w:val="24"/>
        </w:rPr>
      </w:pPr>
      <w:r w:rsidRPr="00E504AE">
        <w:rPr>
          <w:rFonts w:asciiTheme="minorHAnsi" w:hAnsiTheme="minorHAnsi" w:cstheme="minorHAnsi"/>
          <w:sz w:val="24"/>
          <w:szCs w:val="24"/>
        </w:rPr>
        <w:t>un texte produit par deux élèves de CM2, Isabelle et Virginie ;</w:t>
      </w:r>
    </w:p>
    <w:p w14:paraId="2C91F177" w14:textId="77777777" w:rsidR="00B56130" w:rsidRPr="00E504AE" w:rsidRDefault="00B56130" w:rsidP="009D5A52">
      <w:pPr>
        <w:pStyle w:val="western"/>
        <w:numPr>
          <w:ilvl w:val="0"/>
          <w:numId w:val="1"/>
        </w:numPr>
        <w:spacing w:before="0" w:beforeAutospacing="0" w:after="0" w:line="360" w:lineRule="auto"/>
        <w:rPr>
          <w:rFonts w:asciiTheme="minorHAnsi" w:hAnsiTheme="minorHAnsi" w:cstheme="minorHAnsi"/>
          <w:sz w:val="24"/>
          <w:szCs w:val="24"/>
        </w:rPr>
      </w:pPr>
      <w:r w:rsidRPr="00E504AE">
        <w:rPr>
          <w:rFonts w:asciiTheme="minorHAnsi" w:hAnsiTheme="minorHAnsi" w:cstheme="minorHAnsi"/>
          <w:sz w:val="24"/>
          <w:szCs w:val="24"/>
        </w:rPr>
        <w:t>la transcription d’une discussion collective à propos du texte produit.</w:t>
      </w:r>
    </w:p>
    <w:p w14:paraId="14F37545" w14:textId="3AAB54D9" w:rsidR="001256EE" w:rsidRPr="00E504AE" w:rsidRDefault="001256EE" w:rsidP="009D5A52">
      <w:pPr>
        <w:spacing w:after="0" w:line="360" w:lineRule="auto"/>
        <w:rPr>
          <w:sz w:val="24"/>
          <w:szCs w:val="24"/>
        </w:rPr>
      </w:pPr>
    </w:p>
    <w:p w14:paraId="59E2EE0F" w14:textId="6AF96581" w:rsidR="00B56130" w:rsidRDefault="00B56130" w:rsidP="009D5A52">
      <w:pPr>
        <w:spacing w:after="0" w:line="360" w:lineRule="auto"/>
        <w:ind w:firstLine="284"/>
        <w:jc w:val="both"/>
        <w:rPr>
          <w:sz w:val="24"/>
          <w:szCs w:val="24"/>
        </w:rPr>
      </w:pPr>
      <w:r w:rsidRPr="00E504AE">
        <w:rPr>
          <w:sz w:val="24"/>
          <w:szCs w:val="24"/>
        </w:rPr>
        <w:t xml:space="preserve">Le document C est un extrait du programme </w:t>
      </w:r>
      <w:r w:rsidR="0064720C" w:rsidRPr="00E504AE">
        <w:rPr>
          <w:sz w:val="24"/>
          <w:szCs w:val="24"/>
        </w:rPr>
        <w:t>du cycle 3 (</w:t>
      </w:r>
      <w:r w:rsidR="00E504AE" w:rsidRPr="00E504AE">
        <w:rPr>
          <w:sz w:val="24"/>
          <w:szCs w:val="24"/>
        </w:rPr>
        <w:t>d</w:t>
      </w:r>
      <w:r w:rsidR="00E504AE" w:rsidRPr="00E504AE">
        <w:rPr>
          <w:sz w:val="24"/>
          <w:szCs w:val="24"/>
        </w:rPr>
        <w:t>’après le BOEN n° 31 du 30 juillet 2020</w:t>
      </w:r>
      <w:r w:rsidR="00E504AE" w:rsidRPr="00E504AE">
        <w:rPr>
          <w:sz w:val="24"/>
          <w:szCs w:val="24"/>
        </w:rPr>
        <w:t>).</w:t>
      </w:r>
    </w:p>
    <w:p w14:paraId="7CB7F6B4" w14:textId="38804683" w:rsidR="00AF7131" w:rsidRPr="00CE78F9" w:rsidRDefault="00AF7131" w:rsidP="009D5A52">
      <w:pPr>
        <w:spacing w:after="0" w:line="360" w:lineRule="auto"/>
        <w:ind w:firstLine="284"/>
        <w:jc w:val="both"/>
        <w:rPr>
          <w:rFonts w:cstheme="minorHAnsi"/>
          <w:sz w:val="24"/>
          <w:szCs w:val="24"/>
        </w:rPr>
      </w:pPr>
    </w:p>
    <w:p w14:paraId="2C1DD174" w14:textId="42B3F344" w:rsidR="00AF7131" w:rsidRPr="00CE78F9" w:rsidRDefault="00AF7131" w:rsidP="009D5A52">
      <w:pPr>
        <w:spacing w:after="0" w:line="360" w:lineRule="auto"/>
        <w:ind w:firstLine="284"/>
        <w:jc w:val="both"/>
        <w:rPr>
          <w:rFonts w:cstheme="minorHAnsi"/>
          <w:sz w:val="24"/>
          <w:szCs w:val="24"/>
        </w:rPr>
      </w:pPr>
      <w:r w:rsidRPr="00CE78F9">
        <w:rPr>
          <w:rFonts w:cstheme="minorHAnsi"/>
          <w:sz w:val="24"/>
          <w:szCs w:val="24"/>
        </w:rPr>
        <w:t>Le document D</w:t>
      </w:r>
      <w:r w:rsidR="001A1322" w:rsidRPr="00CE78F9">
        <w:rPr>
          <w:rFonts w:cstheme="minorHAnsi"/>
          <w:sz w:val="24"/>
          <w:szCs w:val="24"/>
        </w:rPr>
        <w:t xml:space="preserve"> est un extrait de l’ouvrage de Tzvetan Todorov</w:t>
      </w:r>
      <w:r w:rsidR="00CE78F9" w:rsidRPr="00CE78F9">
        <w:rPr>
          <w:rFonts w:cstheme="minorHAnsi"/>
          <w:sz w:val="24"/>
          <w:szCs w:val="24"/>
        </w:rPr>
        <w:t xml:space="preserve">, </w:t>
      </w:r>
      <w:r w:rsidR="00CE78F9" w:rsidRPr="001A1322">
        <w:rPr>
          <w:rFonts w:eastAsia="Times New Roman" w:cstheme="minorHAnsi"/>
          <w:i/>
          <w:iCs/>
          <w:sz w:val="24"/>
          <w:szCs w:val="24"/>
          <w:lang w:eastAsia="fr-FR"/>
        </w:rPr>
        <w:t>Introduction à la littérature fantastique</w:t>
      </w:r>
      <w:r w:rsidR="00CE78F9" w:rsidRPr="001A1322">
        <w:rPr>
          <w:rFonts w:eastAsia="Times New Roman" w:cstheme="minorHAnsi"/>
          <w:sz w:val="24"/>
          <w:szCs w:val="24"/>
          <w:lang w:eastAsia="fr-FR"/>
        </w:rPr>
        <w:t>,</w:t>
      </w:r>
      <w:r w:rsidR="00CE78F9" w:rsidRPr="00CE78F9">
        <w:rPr>
          <w:rFonts w:eastAsia="Times New Roman" w:cstheme="minorHAnsi"/>
          <w:sz w:val="24"/>
          <w:szCs w:val="24"/>
          <w:lang w:eastAsia="fr-FR"/>
        </w:rPr>
        <w:t xml:space="preserve"> Paris,</w:t>
      </w:r>
      <w:r w:rsidR="00CE78F9" w:rsidRPr="001A1322">
        <w:rPr>
          <w:rFonts w:eastAsia="Times New Roman" w:cstheme="minorHAnsi"/>
          <w:sz w:val="24"/>
          <w:szCs w:val="24"/>
          <w:lang w:eastAsia="fr-FR"/>
        </w:rPr>
        <w:t xml:space="preserve"> Éditions du Seuil, 1970</w:t>
      </w:r>
      <w:r w:rsidR="00CE78F9" w:rsidRPr="00CE78F9">
        <w:rPr>
          <w:rFonts w:eastAsia="Times New Roman" w:cstheme="minorHAnsi"/>
          <w:sz w:val="24"/>
          <w:szCs w:val="24"/>
          <w:lang w:eastAsia="fr-FR"/>
        </w:rPr>
        <w:t>.</w:t>
      </w:r>
    </w:p>
    <w:p w14:paraId="54615DD2" w14:textId="365910F0" w:rsidR="00AF7131" w:rsidRPr="00CE78F9" w:rsidRDefault="00AF7131" w:rsidP="009D5A52">
      <w:pPr>
        <w:spacing w:after="0" w:line="360" w:lineRule="auto"/>
        <w:ind w:firstLine="284"/>
        <w:jc w:val="both"/>
        <w:rPr>
          <w:rFonts w:cstheme="minorHAnsi"/>
          <w:sz w:val="24"/>
          <w:szCs w:val="24"/>
        </w:rPr>
      </w:pPr>
    </w:p>
    <w:p w14:paraId="60E15D69" w14:textId="77777777" w:rsidR="009D5A52" w:rsidRPr="00CE78F9" w:rsidRDefault="00AF7131" w:rsidP="009D5A52">
      <w:pPr>
        <w:pStyle w:val="Default"/>
        <w:spacing w:line="360" w:lineRule="auto"/>
        <w:jc w:val="both"/>
        <w:rPr>
          <w:rFonts w:asciiTheme="minorHAnsi" w:hAnsiTheme="minorHAnsi" w:cstheme="minorHAnsi"/>
          <w:b/>
          <w:bCs/>
          <w:color w:val="auto"/>
        </w:rPr>
      </w:pPr>
      <w:r w:rsidRPr="00CE78F9">
        <w:rPr>
          <w:rFonts w:asciiTheme="minorHAnsi" w:hAnsiTheme="minorHAnsi" w:cstheme="minorHAnsi"/>
          <w:b/>
          <w:bCs/>
          <w:color w:val="auto"/>
        </w:rPr>
        <w:t>Sujet</w:t>
      </w:r>
    </w:p>
    <w:p w14:paraId="471A778B" w14:textId="2D3340B4" w:rsidR="00AF7131" w:rsidRPr="009D5A52" w:rsidRDefault="00AF7131" w:rsidP="009D5A52">
      <w:pPr>
        <w:pStyle w:val="Default"/>
        <w:spacing w:line="360" w:lineRule="auto"/>
        <w:jc w:val="both"/>
      </w:pPr>
      <w:r w:rsidRPr="009D5A52">
        <w:t xml:space="preserve">Concevez une </w:t>
      </w:r>
      <w:r w:rsidR="00142A9F">
        <w:t xml:space="preserve">ou </w:t>
      </w:r>
      <w:r w:rsidR="00A51289">
        <w:t>plusieurs</w:t>
      </w:r>
      <w:r w:rsidR="00142A9F">
        <w:t xml:space="preserve"> </w:t>
      </w:r>
      <w:r w:rsidRPr="009D5A52">
        <w:t>séance</w:t>
      </w:r>
      <w:r w:rsidR="00142A9F">
        <w:t>s</w:t>
      </w:r>
      <w:r w:rsidRPr="009D5A52">
        <w:t xml:space="preserve"> </w:t>
      </w:r>
      <w:r w:rsidR="007563AA">
        <w:t>visant à prolonger le travail d’écriture dont rendent compte les documents A et B</w:t>
      </w:r>
      <w:r w:rsidR="00F46BA4">
        <w:t>,</w:t>
      </w:r>
      <w:r w:rsidRPr="009D5A52">
        <w:t xml:space="preserve"> pour une classe de CM2</w:t>
      </w:r>
      <w:r w:rsidR="00F46BA4">
        <w:t xml:space="preserve">. </w:t>
      </w:r>
      <w:r w:rsidRPr="009D5A52">
        <w:t xml:space="preserve">Vous pourrez librement </w:t>
      </w:r>
      <w:r w:rsidR="00F46BA4">
        <w:t>proposer d’autres supports</w:t>
      </w:r>
      <w:r w:rsidR="00A51289">
        <w:t xml:space="preserve">, </w:t>
      </w:r>
      <w:r w:rsidR="00F46BA4">
        <w:t>ressources</w:t>
      </w:r>
      <w:r w:rsidR="00A51289">
        <w:t>, outils pour les élèves</w:t>
      </w:r>
      <w:r w:rsidRPr="009D5A52">
        <w:t>.</w:t>
      </w:r>
    </w:p>
    <w:p w14:paraId="11EBA440" w14:textId="77777777" w:rsidR="00AF7131" w:rsidRDefault="00AF7131" w:rsidP="009D5A52">
      <w:pPr>
        <w:spacing w:after="0" w:line="360" w:lineRule="auto"/>
        <w:ind w:firstLine="284"/>
        <w:jc w:val="both"/>
        <w:rPr>
          <w:sz w:val="24"/>
          <w:szCs w:val="24"/>
        </w:rPr>
      </w:pPr>
    </w:p>
    <w:p w14:paraId="45AD1A1F" w14:textId="1CCFF4A0" w:rsidR="00BB6C59" w:rsidRDefault="00BB6C59" w:rsidP="009D5A52">
      <w:pPr>
        <w:spacing w:after="0" w:line="360" w:lineRule="auto"/>
        <w:rPr>
          <w:sz w:val="24"/>
          <w:szCs w:val="24"/>
        </w:rPr>
      </w:pPr>
      <w:r>
        <w:rPr>
          <w:sz w:val="24"/>
          <w:szCs w:val="24"/>
        </w:rPr>
        <w:br w:type="page"/>
      </w:r>
    </w:p>
    <w:p w14:paraId="70E85E09" w14:textId="3EE8C2F7" w:rsidR="00BB6C59" w:rsidRDefault="00BB6C59" w:rsidP="009D5A52">
      <w:pPr>
        <w:spacing w:after="0" w:line="360" w:lineRule="auto"/>
        <w:ind w:firstLine="284"/>
        <w:jc w:val="both"/>
        <w:rPr>
          <w:sz w:val="24"/>
          <w:szCs w:val="24"/>
        </w:rPr>
      </w:pPr>
      <w:r w:rsidRPr="00BB6C59">
        <w:rPr>
          <w:sz w:val="24"/>
          <w:szCs w:val="24"/>
        </w:rPr>
        <w:lastRenderedPageBreak/>
        <w:drawing>
          <wp:inline distT="0" distB="0" distL="0" distR="0" wp14:anchorId="0852BDE6" wp14:editId="0E990C7E">
            <wp:extent cx="6286379" cy="8528050"/>
            <wp:effectExtent l="0" t="0" r="635" b="6350"/>
            <wp:docPr id="5" name="Image 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10;&#10;Description générée automatiquement"/>
                    <pic:cNvPicPr/>
                  </pic:nvPicPr>
                  <pic:blipFill>
                    <a:blip r:embed="rId5"/>
                    <a:stretch>
                      <a:fillRect/>
                    </a:stretch>
                  </pic:blipFill>
                  <pic:spPr>
                    <a:xfrm>
                      <a:off x="0" y="0"/>
                      <a:ext cx="6306811" cy="8555767"/>
                    </a:xfrm>
                    <a:prstGeom prst="rect">
                      <a:avLst/>
                    </a:prstGeom>
                  </pic:spPr>
                </pic:pic>
              </a:graphicData>
            </a:graphic>
          </wp:inline>
        </w:drawing>
      </w:r>
    </w:p>
    <w:p w14:paraId="028C497D" w14:textId="76DDD77D" w:rsidR="00801006" w:rsidRDefault="00801006" w:rsidP="009D5A52">
      <w:pPr>
        <w:spacing w:after="0" w:line="360" w:lineRule="auto"/>
        <w:rPr>
          <w:sz w:val="24"/>
          <w:szCs w:val="24"/>
        </w:rPr>
      </w:pPr>
      <w:r>
        <w:rPr>
          <w:sz w:val="24"/>
          <w:szCs w:val="24"/>
        </w:rPr>
        <w:br w:type="page"/>
      </w:r>
    </w:p>
    <w:p w14:paraId="65514D17" w14:textId="77777777" w:rsidR="00AE170E" w:rsidRDefault="00FF029B" w:rsidP="009D5A52">
      <w:pPr>
        <w:spacing w:after="0" w:line="360" w:lineRule="auto"/>
        <w:rPr>
          <w:b/>
          <w:bCs/>
          <w:sz w:val="24"/>
          <w:szCs w:val="24"/>
        </w:rPr>
      </w:pPr>
      <w:r w:rsidRPr="00FF029B">
        <w:rPr>
          <w:b/>
          <w:bCs/>
          <w:sz w:val="24"/>
          <w:szCs w:val="24"/>
        </w:rPr>
        <w:lastRenderedPageBreak/>
        <w:t>Document C</w:t>
      </w:r>
    </w:p>
    <w:p w14:paraId="2B819794" w14:textId="01BA5B68" w:rsidR="00EC4018" w:rsidRDefault="004202A3" w:rsidP="009D5A52">
      <w:pPr>
        <w:spacing w:after="0" w:line="360" w:lineRule="auto"/>
      </w:pPr>
      <w:r w:rsidRPr="004202A3">
        <w:rPr>
          <w:noProof/>
        </w:rPr>
        <w:drawing>
          <wp:inline distT="0" distB="0" distL="0" distR="0" wp14:anchorId="5B2B5A3D" wp14:editId="2315E316">
            <wp:extent cx="5760720" cy="7291705"/>
            <wp:effectExtent l="0" t="0" r="0"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291705"/>
                    </a:xfrm>
                    <a:prstGeom prst="rect">
                      <a:avLst/>
                    </a:prstGeom>
                    <a:noFill/>
                    <a:ln>
                      <a:noFill/>
                    </a:ln>
                  </pic:spPr>
                </pic:pic>
              </a:graphicData>
            </a:graphic>
          </wp:inline>
        </w:drawing>
      </w:r>
      <w:r w:rsidRPr="004202A3">
        <w:rPr>
          <w:noProof/>
        </w:rPr>
        <w:t xml:space="preserve"> </w:t>
      </w:r>
    </w:p>
    <w:p w14:paraId="73B597CD" w14:textId="3BFECCEB" w:rsidR="00EC4018" w:rsidRDefault="00960811" w:rsidP="009D5A52">
      <w:pPr>
        <w:spacing w:after="0" w:line="360" w:lineRule="auto"/>
      </w:pPr>
      <w:r>
        <w:t>[…]</w:t>
      </w:r>
    </w:p>
    <w:p w14:paraId="5B77B5E3" w14:textId="7D89B050" w:rsidR="00960811" w:rsidRDefault="00960811" w:rsidP="009D5A52">
      <w:pPr>
        <w:spacing w:after="0" w:line="360" w:lineRule="auto"/>
      </w:pPr>
      <w:r w:rsidRPr="00960811">
        <w:rPr>
          <w:noProof/>
        </w:rPr>
        <w:lastRenderedPageBreak/>
        <w:drawing>
          <wp:inline distT="0" distB="0" distL="0" distR="0" wp14:anchorId="4E62462C" wp14:editId="71FF7B48">
            <wp:extent cx="5760720" cy="543115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5431155"/>
                    </a:xfrm>
                    <a:prstGeom prst="rect">
                      <a:avLst/>
                    </a:prstGeom>
                    <a:noFill/>
                    <a:ln>
                      <a:noFill/>
                    </a:ln>
                  </pic:spPr>
                </pic:pic>
              </a:graphicData>
            </a:graphic>
          </wp:inline>
        </w:drawing>
      </w:r>
    </w:p>
    <w:p w14:paraId="39B24887" w14:textId="790552E7" w:rsidR="00960811" w:rsidRDefault="00960811" w:rsidP="009D5A52">
      <w:pPr>
        <w:spacing w:after="0" w:line="360" w:lineRule="auto"/>
      </w:pPr>
      <w:r w:rsidRPr="00960811">
        <w:rPr>
          <w:noProof/>
        </w:rPr>
        <w:drawing>
          <wp:inline distT="0" distB="0" distL="0" distR="0" wp14:anchorId="40875A7C" wp14:editId="40E20D1E">
            <wp:extent cx="5760720" cy="2720340"/>
            <wp:effectExtent l="0" t="0" r="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720340"/>
                    </a:xfrm>
                    <a:prstGeom prst="rect">
                      <a:avLst/>
                    </a:prstGeom>
                    <a:noFill/>
                    <a:ln>
                      <a:noFill/>
                    </a:ln>
                  </pic:spPr>
                </pic:pic>
              </a:graphicData>
            </a:graphic>
          </wp:inline>
        </w:drawing>
      </w:r>
    </w:p>
    <w:p w14:paraId="6BD0F263" w14:textId="46427407" w:rsidR="00960811" w:rsidRDefault="00960811" w:rsidP="009D5A52">
      <w:pPr>
        <w:spacing w:after="0" w:line="360" w:lineRule="auto"/>
      </w:pPr>
    </w:p>
    <w:p w14:paraId="7E6A0821" w14:textId="44C6E727" w:rsidR="001A1322" w:rsidRDefault="001A1322">
      <w:r>
        <w:br w:type="page"/>
      </w:r>
    </w:p>
    <w:p w14:paraId="1D9EA51A" w14:textId="482198A5" w:rsidR="001A1322" w:rsidRPr="00CE78F9" w:rsidRDefault="001A1322" w:rsidP="00CE78F9">
      <w:pPr>
        <w:spacing w:after="0" w:line="360" w:lineRule="auto"/>
        <w:rPr>
          <w:rFonts w:cstheme="minorHAnsi"/>
          <w:b/>
          <w:bCs/>
          <w:sz w:val="24"/>
          <w:szCs w:val="24"/>
        </w:rPr>
      </w:pPr>
      <w:r w:rsidRPr="00CE78F9">
        <w:rPr>
          <w:rFonts w:cstheme="minorHAnsi"/>
          <w:b/>
          <w:bCs/>
          <w:sz w:val="24"/>
          <w:szCs w:val="24"/>
        </w:rPr>
        <w:lastRenderedPageBreak/>
        <w:t>Document D</w:t>
      </w:r>
    </w:p>
    <w:p w14:paraId="073CED55" w14:textId="4548CD2A" w:rsidR="001A1322" w:rsidRPr="001A1322" w:rsidRDefault="001A1322" w:rsidP="00CE78F9">
      <w:pPr>
        <w:spacing w:after="0" w:line="240" w:lineRule="auto"/>
        <w:ind w:firstLine="284"/>
        <w:jc w:val="both"/>
        <w:rPr>
          <w:rFonts w:eastAsia="Times New Roman" w:cstheme="minorHAnsi"/>
          <w:sz w:val="24"/>
          <w:szCs w:val="24"/>
          <w:lang w:eastAsia="fr-FR"/>
        </w:rPr>
      </w:pPr>
      <w:r w:rsidRPr="001A1322">
        <w:rPr>
          <w:rFonts w:eastAsia="Times New Roman" w:cstheme="minorHAnsi"/>
          <w:sz w:val="24"/>
          <w:szCs w:val="24"/>
          <w:lang w:eastAsia="fr-FR"/>
        </w:rPr>
        <w:t>Ainsi se trouve-t-on amené au cœur du fantastique. Dans un monde qui est bien le nôtre, celui que nous connaissons, sans diables, sylphides, ni vampires, se produit un événement qui ne peut s'expliquer par les lois de ce même monde familier. Celui qui perçoit l'événement doit opter pour l'une des deux solutions possibles : ou bien il s'agit d'une illusion des sens, d'un produit de l'imagination et les lois du monde restent alors ce qu'elles sont ; ou bien l'événement a véritablement eu lieu, il est partie intégrante de la réalité, mais alors cette réalité est régie par des lois inconnues de nous. Ou bien le diable est une illusion, un être imaginaire, ou bien il existe réellement, tout comme les autres êtres vivants : avec cette réserve qu'on le rencontre rarement.</w:t>
      </w:r>
    </w:p>
    <w:p w14:paraId="476992A5" w14:textId="13896E4E" w:rsidR="001A1322" w:rsidRPr="001A1322" w:rsidRDefault="001A1322" w:rsidP="00B9676E">
      <w:pPr>
        <w:spacing w:after="0" w:line="240" w:lineRule="auto"/>
        <w:ind w:firstLine="284"/>
        <w:jc w:val="both"/>
        <w:rPr>
          <w:rFonts w:eastAsia="Times New Roman" w:cstheme="minorHAnsi"/>
          <w:sz w:val="24"/>
          <w:szCs w:val="24"/>
          <w:lang w:eastAsia="fr-FR"/>
        </w:rPr>
      </w:pPr>
      <w:r w:rsidRPr="001A1322">
        <w:rPr>
          <w:rFonts w:eastAsia="Times New Roman" w:cstheme="minorHAnsi"/>
          <w:sz w:val="24"/>
          <w:szCs w:val="24"/>
          <w:lang w:eastAsia="fr-FR"/>
        </w:rPr>
        <w:t xml:space="preserve">Le fantastique occupe le temps de cette incertitude ; dès qu'on choisit l'une ou l'autre réponse, on quitte le fantastique pour entrer dans un genre voisin, l'étrange ou le merveilleux. Le fantastique, c'est l'hésitation éprouvée par un être qui ne connaît que les lois naturelles, face à un événement en apparence surnaturel. […] </w:t>
      </w:r>
    </w:p>
    <w:p w14:paraId="382BA9B2" w14:textId="182D64D5" w:rsidR="001A1322" w:rsidRPr="001A1322" w:rsidRDefault="001A1322" w:rsidP="00514016">
      <w:pPr>
        <w:spacing w:after="0" w:line="240" w:lineRule="auto"/>
        <w:ind w:firstLine="284"/>
        <w:jc w:val="both"/>
        <w:rPr>
          <w:rFonts w:eastAsia="Times New Roman" w:cstheme="minorHAnsi"/>
          <w:sz w:val="24"/>
          <w:szCs w:val="24"/>
          <w:lang w:eastAsia="fr-FR"/>
        </w:rPr>
      </w:pPr>
      <w:r w:rsidRPr="001A1322">
        <w:rPr>
          <w:rFonts w:eastAsia="Times New Roman" w:cstheme="minorHAnsi"/>
          <w:sz w:val="24"/>
          <w:szCs w:val="24"/>
          <w:lang w:eastAsia="fr-FR"/>
        </w:rPr>
        <w:t xml:space="preserve">Il faut remarquer encore que les définitions du fantastique qu'on trouve en France dans des écrits récents, si elles ne sont pas identiques à la nôtre, ne la contredisent pas non plus. Sans nous attarder trop, nous donnerons quelques exemples puisés dans les textes </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canoniques</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 xml:space="preserve">. Castex écrit dans </w:t>
      </w:r>
      <w:r w:rsidRPr="001A1322">
        <w:rPr>
          <w:rFonts w:eastAsia="Times New Roman" w:cstheme="minorHAnsi"/>
          <w:i/>
          <w:iCs/>
          <w:sz w:val="24"/>
          <w:szCs w:val="24"/>
          <w:lang w:eastAsia="fr-FR"/>
        </w:rPr>
        <w:t>Le conte fantastique en France</w:t>
      </w:r>
      <w:r w:rsidRPr="001A1322">
        <w:rPr>
          <w:rFonts w:eastAsia="Times New Roman" w:cstheme="minorHAnsi"/>
          <w:sz w:val="24"/>
          <w:szCs w:val="24"/>
          <w:lang w:eastAsia="fr-FR"/>
        </w:rPr>
        <w:t xml:space="preserve"> : </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le fantastique... se caractérise... par une intrusion brutale du mystère dans le cadre de la vie réelle</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 xml:space="preserve"> (p.</w:t>
      </w:r>
      <w:r w:rsidR="008A4AB3" w:rsidRPr="00514016">
        <w:rPr>
          <w:rFonts w:eastAsia="Times New Roman" w:cstheme="minorHAnsi"/>
          <w:sz w:val="24"/>
          <w:szCs w:val="24"/>
          <w:lang w:eastAsia="fr-FR"/>
        </w:rPr>
        <w:t xml:space="preserve"> </w:t>
      </w:r>
      <w:r w:rsidRPr="001A1322">
        <w:rPr>
          <w:rFonts w:eastAsia="Times New Roman" w:cstheme="minorHAnsi"/>
          <w:sz w:val="24"/>
          <w:szCs w:val="24"/>
          <w:lang w:eastAsia="fr-FR"/>
        </w:rPr>
        <w:t xml:space="preserve">8). Louis </w:t>
      </w:r>
      <w:proofErr w:type="spellStart"/>
      <w:r w:rsidRPr="001A1322">
        <w:rPr>
          <w:rFonts w:eastAsia="Times New Roman" w:cstheme="minorHAnsi"/>
          <w:sz w:val="24"/>
          <w:szCs w:val="24"/>
          <w:lang w:eastAsia="fr-FR"/>
        </w:rPr>
        <w:t>Vax</w:t>
      </w:r>
      <w:proofErr w:type="spellEnd"/>
      <w:r w:rsidRPr="001A1322">
        <w:rPr>
          <w:rFonts w:eastAsia="Times New Roman" w:cstheme="minorHAnsi"/>
          <w:sz w:val="24"/>
          <w:szCs w:val="24"/>
          <w:lang w:eastAsia="fr-FR"/>
        </w:rPr>
        <w:t xml:space="preserve">, dans </w:t>
      </w:r>
      <w:r w:rsidRPr="001A1322">
        <w:rPr>
          <w:rFonts w:eastAsia="Times New Roman" w:cstheme="minorHAnsi"/>
          <w:i/>
          <w:iCs/>
          <w:sz w:val="24"/>
          <w:szCs w:val="24"/>
          <w:lang w:eastAsia="fr-FR"/>
        </w:rPr>
        <w:t xml:space="preserve">L'art et la littérature fantastiques </w:t>
      </w:r>
      <w:r w:rsidRPr="001A1322">
        <w:rPr>
          <w:rFonts w:eastAsia="Times New Roman" w:cstheme="minorHAnsi"/>
          <w:sz w:val="24"/>
          <w:szCs w:val="24"/>
          <w:lang w:eastAsia="fr-FR"/>
        </w:rPr>
        <w:t xml:space="preserve">: </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Le récit fantastique... aime nous présenter, habitant le monde réel où nous sommes, des hommes comme nous, placés soudainement en présence de l'inexplicable</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 xml:space="preserve"> (p.</w:t>
      </w:r>
      <w:r w:rsidR="008A4AB3" w:rsidRPr="00514016">
        <w:rPr>
          <w:rFonts w:eastAsia="Times New Roman" w:cstheme="minorHAnsi"/>
          <w:sz w:val="24"/>
          <w:szCs w:val="24"/>
          <w:lang w:eastAsia="fr-FR"/>
        </w:rPr>
        <w:t xml:space="preserve"> </w:t>
      </w:r>
      <w:r w:rsidRPr="001A1322">
        <w:rPr>
          <w:rFonts w:eastAsia="Times New Roman" w:cstheme="minorHAnsi"/>
          <w:sz w:val="24"/>
          <w:szCs w:val="24"/>
          <w:lang w:eastAsia="fr-FR"/>
        </w:rPr>
        <w:t xml:space="preserve">5). Roger Caillois, dans </w:t>
      </w:r>
      <w:r w:rsidRPr="001A1322">
        <w:rPr>
          <w:rFonts w:eastAsia="Times New Roman" w:cstheme="minorHAnsi"/>
          <w:i/>
          <w:iCs/>
          <w:sz w:val="24"/>
          <w:szCs w:val="24"/>
          <w:lang w:eastAsia="fr-FR"/>
        </w:rPr>
        <w:t>Au cœur du fantastique</w:t>
      </w:r>
      <w:r w:rsidRPr="001A1322">
        <w:rPr>
          <w:rFonts w:eastAsia="Times New Roman" w:cstheme="minorHAnsi"/>
          <w:sz w:val="24"/>
          <w:szCs w:val="24"/>
          <w:lang w:eastAsia="fr-FR"/>
        </w:rPr>
        <w:t xml:space="preserve"> : </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Tout le fantastique est rupture de l'ordre reconnu, irruption de l'inadmissible au sein de l'inaltérable légalité quotidienne</w:t>
      </w:r>
      <w:r w:rsidR="008A4AB3" w:rsidRPr="00514016">
        <w:rPr>
          <w:rFonts w:eastAsia="Times New Roman" w:cstheme="minorHAnsi"/>
          <w:sz w:val="24"/>
          <w:szCs w:val="24"/>
          <w:lang w:eastAsia="fr-FR"/>
        </w:rPr>
        <w:t> »</w:t>
      </w:r>
      <w:r w:rsidRPr="001A1322">
        <w:rPr>
          <w:rFonts w:eastAsia="Times New Roman" w:cstheme="minorHAnsi"/>
          <w:sz w:val="24"/>
          <w:szCs w:val="24"/>
          <w:lang w:eastAsia="fr-FR"/>
        </w:rPr>
        <w:t xml:space="preserve"> (p. 61). On le voit, ces trois définitions sont, intentionnellement ou non, des paraphrases l'une de l'autre : il y a chaque fois le </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mystère</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 xml:space="preserve">, </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l'inexplicable</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 xml:space="preserve">, </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l'inadmissible</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 xml:space="preserve">, qui s'introduit dans la </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vie réelle</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 xml:space="preserve">, ou le </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monde réel</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 xml:space="preserve">, ou encore dans </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l'inaltérable légalité quotidienne</w:t>
      </w:r>
      <w:r w:rsidR="00514016" w:rsidRPr="00514016">
        <w:rPr>
          <w:rFonts w:eastAsia="Times New Roman" w:cstheme="minorHAnsi"/>
          <w:sz w:val="24"/>
          <w:szCs w:val="24"/>
          <w:lang w:eastAsia="fr-FR"/>
        </w:rPr>
        <w:t> »</w:t>
      </w:r>
      <w:r w:rsidRPr="001A1322">
        <w:rPr>
          <w:rFonts w:eastAsia="Times New Roman" w:cstheme="minorHAnsi"/>
          <w:sz w:val="24"/>
          <w:szCs w:val="24"/>
          <w:lang w:eastAsia="fr-FR"/>
        </w:rPr>
        <w:t xml:space="preserve">. [...] </w:t>
      </w:r>
    </w:p>
    <w:p w14:paraId="7E19DEC3" w14:textId="50F600DE" w:rsidR="001A1322" w:rsidRPr="001A1322" w:rsidRDefault="001A1322" w:rsidP="00514016">
      <w:pPr>
        <w:spacing w:after="0" w:line="240" w:lineRule="auto"/>
        <w:ind w:firstLine="284"/>
        <w:jc w:val="both"/>
        <w:rPr>
          <w:rFonts w:eastAsia="Times New Roman" w:cstheme="minorHAnsi"/>
          <w:sz w:val="24"/>
          <w:szCs w:val="24"/>
          <w:lang w:eastAsia="fr-FR"/>
        </w:rPr>
      </w:pPr>
      <w:r w:rsidRPr="001A1322">
        <w:rPr>
          <w:rFonts w:eastAsia="Times New Roman" w:cstheme="minorHAnsi"/>
          <w:sz w:val="24"/>
          <w:szCs w:val="24"/>
          <w:lang w:eastAsia="fr-FR"/>
        </w:rPr>
        <w:t>Nous sommes maintenant en état de préciser et de compléter notre définition du fantastique. Celui-ci exige que trois conditions soient remplies.</w:t>
      </w:r>
    </w:p>
    <w:p w14:paraId="4183DB85" w14:textId="77777777" w:rsidR="001A1322" w:rsidRPr="00514016" w:rsidRDefault="001A1322" w:rsidP="00514016">
      <w:pPr>
        <w:pStyle w:val="Paragraphedeliste"/>
        <w:numPr>
          <w:ilvl w:val="0"/>
          <w:numId w:val="3"/>
        </w:numPr>
        <w:spacing w:after="0" w:line="240" w:lineRule="auto"/>
        <w:jc w:val="both"/>
        <w:rPr>
          <w:rFonts w:eastAsia="Times New Roman" w:cstheme="minorHAnsi"/>
          <w:sz w:val="24"/>
          <w:szCs w:val="24"/>
          <w:lang w:eastAsia="fr-FR"/>
        </w:rPr>
      </w:pPr>
      <w:r w:rsidRPr="00514016">
        <w:rPr>
          <w:rFonts w:eastAsia="Times New Roman" w:cstheme="minorHAnsi"/>
          <w:sz w:val="24"/>
          <w:szCs w:val="24"/>
          <w:lang w:eastAsia="fr-FR"/>
        </w:rPr>
        <w:t xml:space="preserve">D'abord, il faut que le texte oblige le lecteur à considérer le monde des personnages comme un monde de personnes vivantes et à hésiter entre une explication naturelle et une explication surnaturelle des événements évoqués. </w:t>
      </w:r>
    </w:p>
    <w:p w14:paraId="7A8960BE" w14:textId="77777777" w:rsidR="001A1322" w:rsidRPr="00514016" w:rsidRDefault="001A1322" w:rsidP="00514016">
      <w:pPr>
        <w:pStyle w:val="Paragraphedeliste"/>
        <w:numPr>
          <w:ilvl w:val="0"/>
          <w:numId w:val="3"/>
        </w:numPr>
        <w:spacing w:after="0" w:line="240" w:lineRule="auto"/>
        <w:jc w:val="both"/>
        <w:rPr>
          <w:rFonts w:eastAsia="Times New Roman" w:cstheme="minorHAnsi"/>
          <w:sz w:val="24"/>
          <w:szCs w:val="24"/>
          <w:lang w:eastAsia="fr-FR"/>
        </w:rPr>
      </w:pPr>
      <w:r w:rsidRPr="00514016">
        <w:rPr>
          <w:rFonts w:eastAsia="Times New Roman" w:cstheme="minorHAnsi"/>
          <w:sz w:val="24"/>
          <w:szCs w:val="24"/>
          <w:lang w:eastAsia="fr-FR"/>
        </w:rPr>
        <w:t xml:space="preserve">Ensuite, cette hésitation peut être ressentie également par un personnage ; ainsi le rôle de lecteur est pour ainsi dire confié à un personnage et dans le même temps l'hésitation se trouve représentée, elle devient un des thèmes de l'œuvre ; dans le cas d'une lecture naïve, le lecteur réel s'identifie avec le personnage. </w:t>
      </w:r>
    </w:p>
    <w:p w14:paraId="03515AA7" w14:textId="0BE698EE" w:rsidR="001A1322" w:rsidRPr="00514016" w:rsidRDefault="001A1322" w:rsidP="00514016">
      <w:pPr>
        <w:pStyle w:val="Paragraphedeliste"/>
        <w:numPr>
          <w:ilvl w:val="0"/>
          <w:numId w:val="3"/>
        </w:numPr>
        <w:spacing w:after="0" w:line="240" w:lineRule="auto"/>
        <w:jc w:val="both"/>
        <w:rPr>
          <w:rFonts w:eastAsia="Times New Roman" w:cstheme="minorHAnsi"/>
          <w:sz w:val="24"/>
          <w:szCs w:val="24"/>
          <w:lang w:eastAsia="fr-FR"/>
        </w:rPr>
      </w:pPr>
      <w:r w:rsidRPr="00514016">
        <w:rPr>
          <w:rFonts w:eastAsia="Times New Roman" w:cstheme="minorHAnsi"/>
          <w:sz w:val="24"/>
          <w:szCs w:val="24"/>
          <w:lang w:eastAsia="fr-FR"/>
        </w:rPr>
        <w:t xml:space="preserve">Enfin il importe que le lecteur adopte une certaine attitude à l'égard du texte : il refusera aussi bien l'interprétation allégorique que l'interprétation </w:t>
      </w:r>
      <w:r w:rsidR="00514016">
        <w:rPr>
          <w:rFonts w:eastAsia="Times New Roman" w:cstheme="minorHAnsi"/>
          <w:sz w:val="24"/>
          <w:szCs w:val="24"/>
          <w:lang w:eastAsia="fr-FR"/>
        </w:rPr>
        <w:t>« </w:t>
      </w:r>
      <w:r w:rsidRPr="00514016">
        <w:rPr>
          <w:rFonts w:eastAsia="Times New Roman" w:cstheme="minorHAnsi"/>
          <w:sz w:val="24"/>
          <w:szCs w:val="24"/>
          <w:lang w:eastAsia="fr-FR"/>
        </w:rPr>
        <w:t>poétique</w:t>
      </w:r>
      <w:r w:rsidR="00514016">
        <w:rPr>
          <w:rFonts w:eastAsia="Times New Roman" w:cstheme="minorHAnsi"/>
          <w:sz w:val="24"/>
          <w:szCs w:val="24"/>
          <w:lang w:eastAsia="fr-FR"/>
        </w:rPr>
        <w:t> »</w:t>
      </w:r>
      <w:r w:rsidRPr="00514016">
        <w:rPr>
          <w:rFonts w:eastAsia="Times New Roman" w:cstheme="minorHAnsi"/>
          <w:sz w:val="24"/>
          <w:szCs w:val="24"/>
          <w:lang w:eastAsia="fr-FR"/>
        </w:rPr>
        <w:t xml:space="preserve">. </w:t>
      </w:r>
    </w:p>
    <w:p w14:paraId="630F756F" w14:textId="77777777" w:rsidR="001A1322" w:rsidRPr="001A1322" w:rsidRDefault="001A1322" w:rsidP="00514016">
      <w:pPr>
        <w:spacing w:after="0" w:line="240" w:lineRule="auto"/>
        <w:ind w:firstLine="284"/>
        <w:jc w:val="both"/>
        <w:rPr>
          <w:rFonts w:eastAsia="Times New Roman" w:cstheme="minorHAnsi"/>
          <w:sz w:val="24"/>
          <w:szCs w:val="24"/>
          <w:lang w:eastAsia="fr-FR"/>
        </w:rPr>
      </w:pPr>
      <w:r w:rsidRPr="001A1322">
        <w:rPr>
          <w:rFonts w:eastAsia="Times New Roman" w:cstheme="minorHAnsi"/>
          <w:sz w:val="24"/>
          <w:szCs w:val="24"/>
          <w:lang w:eastAsia="fr-FR"/>
        </w:rPr>
        <w:t xml:space="preserve">Ces trois exigences n'ont pas une valeur égale. La première et la troisième constituent véritablement le genre ; la seconde peut ne pas être satisfaite. Toutefois, la plupart des exemples remplissent les trois conditions. </w:t>
      </w:r>
    </w:p>
    <w:p w14:paraId="63190914" w14:textId="2885A200" w:rsidR="001A1322" w:rsidRPr="001A1322" w:rsidRDefault="001A1322" w:rsidP="001A1322">
      <w:pPr>
        <w:spacing w:after="0" w:line="240" w:lineRule="auto"/>
        <w:rPr>
          <w:rFonts w:ascii="Times New Roman" w:eastAsia="Times New Roman" w:hAnsi="Times New Roman" w:cs="Times New Roman"/>
          <w:sz w:val="24"/>
          <w:szCs w:val="24"/>
          <w:lang w:eastAsia="fr-FR"/>
        </w:rPr>
      </w:pPr>
    </w:p>
    <w:p w14:paraId="527E285E" w14:textId="77777777" w:rsidR="001A1322" w:rsidRPr="001A1322" w:rsidRDefault="001A1322" w:rsidP="001A1322">
      <w:pPr>
        <w:spacing w:before="100" w:beforeAutospacing="1" w:after="100" w:afterAutospacing="1" w:line="240" w:lineRule="auto"/>
        <w:jc w:val="right"/>
        <w:rPr>
          <w:rFonts w:eastAsia="Times New Roman" w:cstheme="minorHAnsi"/>
          <w:sz w:val="24"/>
          <w:szCs w:val="24"/>
          <w:lang w:eastAsia="fr-FR"/>
        </w:rPr>
      </w:pPr>
      <w:r w:rsidRPr="001A1322">
        <w:rPr>
          <w:rFonts w:eastAsia="Times New Roman" w:cstheme="minorHAnsi"/>
          <w:sz w:val="24"/>
          <w:szCs w:val="24"/>
          <w:lang w:eastAsia="fr-FR"/>
        </w:rPr>
        <w:t xml:space="preserve">Tzvetan TODOROV, </w:t>
      </w:r>
      <w:r w:rsidRPr="001A1322">
        <w:rPr>
          <w:rFonts w:eastAsia="Times New Roman" w:cstheme="minorHAnsi"/>
          <w:i/>
          <w:iCs/>
          <w:sz w:val="24"/>
          <w:szCs w:val="24"/>
          <w:lang w:eastAsia="fr-FR"/>
        </w:rPr>
        <w:t>Introduction à la littérature fantastique</w:t>
      </w:r>
      <w:r w:rsidRPr="001A1322">
        <w:rPr>
          <w:rFonts w:eastAsia="Times New Roman" w:cstheme="minorHAnsi"/>
          <w:sz w:val="24"/>
          <w:szCs w:val="24"/>
          <w:lang w:eastAsia="fr-FR"/>
        </w:rPr>
        <w:t>,</w:t>
      </w:r>
      <w:r w:rsidRPr="001A1322">
        <w:rPr>
          <w:rFonts w:eastAsia="Times New Roman" w:cstheme="minorHAnsi"/>
          <w:sz w:val="24"/>
          <w:szCs w:val="24"/>
          <w:lang w:eastAsia="fr-FR"/>
        </w:rPr>
        <w:br/>
        <w:t xml:space="preserve">© Tous droits réservés. Éditions du Seuil, 1970. </w:t>
      </w:r>
    </w:p>
    <w:p w14:paraId="019FC2D3" w14:textId="77777777" w:rsidR="001A1322" w:rsidRDefault="001A1322" w:rsidP="009D5A52">
      <w:pPr>
        <w:spacing w:after="0" w:line="360" w:lineRule="auto"/>
      </w:pPr>
    </w:p>
    <w:sectPr w:rsidR="001A13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2004C"/>
    <w:multiLevelType w:val="multilevel"/>
    <w:tmpl w:val="02AE3A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41146A39"/>
    <w:multiLevelType w:val="multilevel"/>
    <w:tmpl w:val="90E66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745DC8"/>
    <w:multiLevelType w:val="hybridMultilevel"/>
    <w:tmpl w:val="0C7688C8"/>
    <w:lvl w:ilvl="0" w:tplc="85CA071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811"/>
    <w:rsid w:val="001256EE"/>
    <w:rsid w:val="00142A9F"/>
    <w:rsid w:val="001A1322"/>
    <w:rsid w:val="004202A3"/>
    <w:rsid w:val="00514016"/>
    <w:rsid w:val="0064720C"/>
    <w:rsid w:val="007563AA"/>
    <w:rsid w:val="00801006"/>
    <w:rsid w:val="008A4AB3"/>
    <w:rsid w:val="00960811"/>
    <w:rsid w:val="009D5A52"/>
    <w:rsid w:val="00A51289"/>
    <w:rsid w:val="00AE170E"/>
    <w:rsid w:val="00AF7131"/>
    <w:rsid w:val="00B56130"/>
    <w:rsid w:val="00B9676E"/>
    <w:rsid w:val="00BB6C59"/>
    <w:rsid w:val="00CE78F9"/>
    <w:rsid w:val="00E504AE"/>
    <w:rsid w:val="00EC4018"/>
    <w:rsid w:val="00F46BA4"/>
    <w:rsid w:val="00FF02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E1CE"/>
  <w15:chartTrackingRefBased/>
  <w15:docId w15:val="{977518FB-A2C6-47C5-89FF-1A7607CD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western">
    <w:name w:val="western"/>
    <w:basedOn w:val="Normal"/>
    <w:rsid w:val="00B56130"/>
    <w:pPr>
      <w:spacing w:before="100" w:beforeAutospacing="1" w:after="119" w:line="240" w:lineRule="auto"/>
    </w:pPr>
    <w:rPr>
      <w:rFonts w:ascii="Times New Roman" w:eastAsia="Times New Roman" w:hAnsi="Times New Roman" w:cs="Times New Roman"/>
      <w:color w:val="000000"/>
      <w:sz w:val="20"/>
      <w:szCs w:val="20"/>
      <w:lang w:eastAsia="fr-FR"/>
    </w:rPr>
  </w:style>
  <w:style w:type="paragraph" w:customStyle="1" w:styleId="Default">
    <w:name w:val="Default"/>
    <w:rsid w:val="00AF713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1A132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1A1322"/>
    <w:rPr>
      <w:i/>
      <w:iCs/>
    </w:rPr>
  </w:style>
  <w:style w:type="paragraph" w:styleId="Paragraphedeliste">
    <w:name w:val="List Paragraph"/>
    <w:basedOn w:val="Normal"/>
    <w:uiPriority w:val="34"/>
    <w:qFormat/>
    <w:rsid w:val="00514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598073">
      <w:bodyDiv w:val="1"/>
      <w:marLeft w:val="0"/>
      <w:marRight w:val="0"/>
      <w:marTop w:val="0"/>
      <w:marBottom w:val="0"/>
      <w:divBdr>
        <w:top w:val="none" w:sz="0" w:space="0" w:color="auto"/>
        <w:left w:val="none" w:sz="0" w:space="0" w:color="auto"/>
        <w:bottom w:val="none" w:sz="0" w:space="0" w:color="auto"/>
        <w:right w:val="none" w:sz="0" w:space="0" w:color="auto"/>
      </w:divBdr>
    </w:div>
    <w:div w:id="8030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665</Words>
  <Characters>3660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Gennaï</dc:creator>
  <cp:keywords/>
  <dc:description/>
  <cp:lastModifiedBy>Aldo Gennaï</cp:lastModifiedBy>
  <cp:revision>21</cp:revision>
  <dcterms:created xsi:type="dcterms:W3CDTF">2021-10-06T06:11:00Z</dcterms:created>
  <dcterms:modified xsi:type="dcterms:W3CDTF">2021-10-06T06:36:00Z</dcterms:modified>
</cp:coreProperties>
</file>