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312A" w14:textId="6D4A8996" w:rsidR="00055CF9" w:rsidRPr="00055CF9" w:rsidRDefault="00055CF9" w:rsidP="00055CF9">
      <w:pPr>
        <w:rPr>
          <w:rFonts w:ascii="Times New Roman" w:hAnsi="Times New Roman" w:cs="Times New Roman"/>
          <w:b/>
          <w:bCs/>
          <w:lang w:val="en-US"/>
        </w:rPr>
      </w:pPr>
      <w:r w:rsidRPr="00055CF9">
        <w:rPr>
          <w:rFonts w:ascii="Times New Roman" w:hAnsi="Times New Roman" w:cs="Times New Roman"/>
          <w:b/>
          <w:bCs/>
          <w:lang w:val="en-US"/>
        </w:rPr>
        <w:t xml:space="preserve">Useful caselaw </w:t>
      </w:r>
      <w:proofErr w:type="gramStart"/>
      <w:r w:rsidRPr="00055CF9">
        <w:rPr>
          <w:rFonts w:ascii="Times New Roman" w:hAnsi="Times New Roman" w:cs="Times New Roman"/>
          <w:b/>
          <w:bCs/>
          <w:lang w:val="en-US"/>
        </w:rPr>
        <w:t xml:space="preserve">for  </w:t>
      </w:r>
      <w:proofErr w:type="spellStart"/>
      <w:r w:rsidRPr="00055CF9">
        <w:rPr>
          <w:rFonts w:ascii="Times New Roman" w:hAnsi="Times New Roman" w:cs="Times New Roman"/>
          <w:b/>
          <w:bCs/>
          <w:lang w:val="en-US"/>
        </w:rPr>
        <w:t>Minimoot</w:t>
      </w:r>
      <w:proofErr w:type="spellEnd"/>
      <w:proofErr w:type="gramEnd"/>
      <w:r w:rsidRPr="00055CF9">
        <w:rPr>
          <w:rFonts w:ascii="Times New Roman" w:hAnsi="Times New Roman" w:cs="Times New Roman"/>
          <w:b/>
          <w:bCs/>
          <w:lang w:val="en-US"/>
        </w:rPr>
        <w:t xml:space="preserve"> 1: </w:t>
      </w:r>
      <w:proofErr w:type="spellStart"/>
      <w:r w:rsidRPr="00055CF9">
        <w:rPr>
          <w:rFonts w:ascii="Times New Roman" w:hAnsi="Times New Roman" w:cs="Times New Roman"/>
          <w:b/>
          <w:bCs/>
          <w:lang w:val="en-US"/>
        </w:rPr>
        <w:t>Mr</w:t>
      </w:r>
      <w:proofErr w:type="spellEnd"/>
      <w:r w:rsidRPr="00055CF9">
        <w:rPr>
          <w:rFonts w:ascii="Times New Roman" w:hAnsi="Times New Roman" w:cs="Times New Roman"/>
          <w:b/>
          <w:bCs/>
          <w:lang w:val="en-US"/>
        </w:rPr>
        <w:t xml:space="preserve"> Shopper’s case</w:t>
      </w:r>
    </w:p>
    <w:p w14:paraId="4485744E" w14:textId="5E85B29E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 xml:space="preserve">The case </w:t>
      </w:r>
      <w:r w:rsidRPr="00055CF9">
        <w:rPr>
          <w:rFonts w:ascii="Times New Roman" w:hAnsi="Times New Roman" w:cs="Times New Roman"/>
          <w:b/>
          <w:bCs/>
          <w:lang w:val="en-US"/>
        </w:rPr>
        <w:t>Eccles v. Bryant and Pollock (1948)</w:t>
      </w:r>
      <w:r w:rsidRPr="00055CF9">
        <w:rPr>
          <w:rFonts w:ascii="Times New Roman" w:hAnsi="Times New Roman" w:cs="Times New Roman"/>
          <w:lang w:val="en-US"/>
        </w:rPr>
        <w:t xml:space="preserve"> is a notable English contract law case that addresses whether an agreement constitutes a legally binding contract. </w:t>
      </w:r>
    </w:p>
    <w:p w14:paraId="78ABF195" w14:textId="4B1E4C29" w:rsidR="00055CF9" w:rsidRPr="00055CF9" w:rsidRDefault="00055CF9" w:rsidP="00055CF9">
      <w:pPr>
        <w:rPr>
          <w:rFonts w:ascii="Times New Roman" w:hAnsi="Times New Roman" w:cs="Times New Roman"/>
          <w:b/>
          <w:bCs/>
          <w:lang w:val="en-US"/>
        </w:rPr>
      </w:pPr>
      <w:r w:rsidRPr="00055CF9">
        <w:rPr>
          <w:rFonts w:ascii="Times New Roman" w:hAnsi="Times New Roman" w:cs="Times New Roman"/>
          <w:b/>
          <w:bCs/>
          <w:lang w:val="en-US"/>
        </w:rPr>
        <w:t>Facts:</w:t>
      </w:r>
    </w:p>
    <w:p w14:paraId="775FE1ED" w14:textId="77777777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The parties negotiated the sale of a property.</w:t>
      </w:r>
    </w:p>
    <w:p w14:paraId="346B4A98" w14:textId="77777777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A memorandum was drafted that included terms, but it was explicitly subject to contract, meaning the agreement was contingent on the preparation of a formal written contract.</w:t>
      </w:r>
    </w:p>
    <w:p w14:paraId="131968B0" w14:textId="77777777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The buyer (Eccles) sought to enforce the agreement as a binding contract when the seller (Bryant) decided not to proceed.</w:t>
      </w:r>
    </w:p>
    <w:p w14:paraId="1CFDED24" w14:textId="7E482083" w:rsidR="00055CF9" w:rsidRPr="00055CF9" w:rsidRDefault="00055CF9" w:rsidP="00055CF9">
      <w:pPr>
        <w:rPr>
          <w:rFonts w:ascii="Times New Roman" w:hAnsi="Times New Roman" w:cs="Times New Roman"/>
          <w:b/>
          <w:bCs/>
          <w:lang w:val="en-US"/>
        </w:rPr>
      </w:pPr>
      <w:r w:rsidRPr="00055CF9">
        <w:rPr>
          <w:rFonts w:ascii="Times New Roman" w:hAnsi="Times New Roman" w:cs="Times New Roman"/>
          <w:b/>
          <w:bCs/>
          <w:lang w:val="en-US"/>
        </w:rPr>
        <w:t>Issue:</w:t>
      </w:r>
    </w:p>
    <w:p w14:paraId="301B350F" w14:textId="5E6F125A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Did the memorandum amount to a binding contract, or was it merely an agreement to agree?</w:t>
      </w:r>
    </w:p>
    <w:p w14:paraId="1ECF4ED4" w14:textId="2C5DB785" w:rsidR="00055CF9" w:rsidRPr="00055CF9" w:rsidRDefault="00055CF9" w:rsidP="00055CF9">
      <w:pPr>
        <w:rPr>
          <w:rFonts w:ascii="Times New Roman" w:hAnsi="Times New Roman" w:cs="Times New Roman"/>
          <w:b/>
          <w:bCs/>
          <w:lang w:val="en-US"/>
        </w:rPr>
      </w:pPr>
      <w:r w:rsidRPr="00055CF9">
        <w:rPr>
          <w:rFonts w:ascii="Times New Roman" w:hAnsi="Times New Roman" w:cs="Times New Roman"/>
          <w:b/>
          <w:bCs/>
          <w:lang w:val="en-US"/>
        </w:rPr>
        <w:t xml:space="preserve"> Decision:</w:t>
      </w:r>
    </w:p>
    <w:p w14:paraId="036BC9B5" w14:textId="22563B84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The court held that no binding contract existed. The use of "subject to contract" demonstrated that the parties intended not to be bound until a formal written contract was signed.</w:t>
      </w:r>
    </w:p>
    <w:p w14:paraId="5925E005" w14:textId="72B06ADD" w:rsidR="00055CF9" w:rsidRPr="00055CF9" w:rsidRDefault="00055CF9" w:rsidP="00055CF9">
      <w:pPr>
        <w:rPr>
          <w:rFonts w:ascii="Times New Roman" w:hAnsi="Times New Roman" w:cs="Times New Roman"/>
          <w:b/>
          <w:bCs/>
          <w:lang w:val="en-US"/>
        </w:rPr>
      </w:pPr>
      <w:r w:rsidRPr="00055CF9">
        <w:rPr>
          <w:rFonts w:ascii="Times New Roman" w:hAnsi="Times New Roman" w:cs="Times New Roman"/>
          <w:b/>
          <w:bCs/>
          <w:lang w:val="en-US"/>
        </w:rPr>
        <w:t>Principle:</w:t>
      </w:r>
    </w:p>
    <w:p w14:paraId="1D1013A8" w14:textId="77777777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 xml:space="preserve">- The phrase "subject to contract" typically indicates that the parties do not intend to be legally bound until a formal contract is executed. </w:t>
      </w:r>
    </w:p>
    <w:p w14:paraId="787A21D6" w14:textId="75009851" w:rsidR="00055CF9" w:rsidRPr="00055CF9" w:rsidRDefault="00055CF9" w:rsidP="00055CF9">
      <w:pPr>
        <w:pBdr>
          <w:bottom w:val="single" w:sz="6" w:space="1" w:color="auto"/>
        </w:pBd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The case reinforces the principle that clear language and the context of negotiations are crucial in determining whether a binding agreement has been formed.</w:t>
      </w:r>
    </w:p>
    <w:p w14:paraId="055C59A5" w14:textId="77777777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</w:p>
    <w:p w14:paraId="7895AF16" w14:textId="46AB5E2F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 xml:space="preserve">The case </w:t>
      </w:r>
      <w:r w:rsidRPr="00055CF9">
        <w:rPr>
          <w:rFonts w:ascii="Times New Roman" w:hAnsi="Times New Roman" w:cs="Times New Roman"/>
          <w:b/>
          <w:bCs/>
          <w:lang w:val="en-US"/>
        </w:rPr>
        <w:t>Bigg v. Boyd Gibbins Ltd. (1971)</w:t>
      </w:r>
      <w:r w:rsidRPr="00055CF9">
        <w:rPr>
          <w:rFonts w:ascii="Times New Roman" w:hAnsi="Times New Roman" w:cs="Times New Roman"/>
          <w:lang w:val="en-US"/>
        </w:rPr>
        <w:t xml:space="preserve"> is an important decision in English contract law, focusing on the formation of contracts and the interpretation of communications between parties. Here's a summary:</w:t>
      </w:r>
    </w:p>
    <w:p w14:paraId="70D09CD2" w14:textId="5DC4E3AF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b/>
          <w:bCs/>
          <w:lang w:val="en-US"/>
        </w:rPr>
        <w:t>Facts</w:t>
      </w:r>
      <w:r w:rsidRPr="00055CF9">
        <w:rPr>
          <w:rFonts w:ascii="Times New Roman" w:hAnsi="Times New Roman" w:cs="Times New Roman"/>
          <w:lang w:val="en-US"/>
        </w:rPr>
        <w:t>:</w:t>
      </w:r>
    </w:p>
    <w:p w14:paraId="0E1D1163" w14:textId="77777777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Bigg (the seller) and Boyd Gibbins Ltd. (the buyer) were negotiating the sale of a property.</w:t>
      </w:r>
    </w:p>
    <w:p w14:paraId="0C30C86D" w14:textId="77777777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Bigg wrote a letter stating: "For a quick sale, I would accept £26,000 for the property."</w:t>
      </w:r>
    </w:p>
    <w:p w14:paraId="4685BFAF" w14:textId="77777777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Boyd Gibbins replied, "We accept your offer of £26,000."</w:t>
      </w:r>
    </w:p>
    <w:p w14:paraId="5B213C5A" w14:textId="77777777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Bigg later tried to argue that no binding contract had been formed, asserting the letter was merely an invitation to treat.</w:t>
      </w:r>
    </w:p>
    <w:p w14:paraId="28F9CE5B" w14:textId="262B0310" w:rsidR="00055CF9" w:rsidRPr="00055CF9" w:rsidRDefault="00055CF9" w:rsidP="00055CF9">
      <w:pPr>
        <w:rPr>
          <w:rFonts w:ascii="Times New Roman" w:hAnsi="Times New Roman" w:cs="Times New Roman"/>
          <w:b/>
          <w:bCs/>
          <w:lang w:val="en-US"/>
        </w:rPr>
      </w:pPr>
      <w:r w:rsidRPr="00055CF9">
        <w:rPr>
          <w:rFonts w:ascii="Times New Roman" w:hAnsi="Times New Roman" w:cs="Times New Roman"/>
          <w:b/>
          <w:bCs/>
          <w:lang w:val="en-US"/>
        </w:rPr>
        <w:t xml:space="preserve"> Issue:</w:t>
      </w:r>
    </w:p>
    <w:p w14:paraId="44B5ACB3" w14:textId="77777777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Did the correspondence between the parties constitute a binding contract.</w:t>
      </w:r>
    </w:p>
    <w:p w14:paraId="37D5071C" w14:textId="235310BB" w:rsidR="00055CF9" w:rsidRPr="00055CF9" w:rsidRDefault="00055CF9" w:rsidP="00055CF9">
      <w:pPr>
        <w:rPr>
          <w:rFonts w:ascii="Times New Roman" w:hAnsi="Times New Roman" w:cs="Times New Roman"/>
          <w:b/>
          <w:bCs/>
          <w:lang w:val="en-US"/>
        </w:rPr>
      </w:pPr>
      <w:r w:rsidRPr="00055CF9">
        <w:rPr>
          <w:rFonts w:ascii="Times New Roman" w:hAnsi="Times New Roman" w:cs="Times New Roman"/>
          <w:b/>
          <w:bCs/>
          <w:lang w:val="en-US"/>
        </w:rPr>
        <w:lastRenderedPageBreak/>
        <w:t xml:space="preserve"> Decision:</w:t>
      </w:r>
    </w:p>
    <w:p w14:paraId="027E913F" w14:textId="77777777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The court held that the correspondence amounted to a binding contract.</w:t>
      </w:r>
    </w:p>
    <w:p w14:paraId="4C96C9B8" w14:textId="77777777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Bigg’s letter was considered a clear offer, and Boyd Gibbins’ reply was an unequivocal acceptance.</w:t>
      </w:r>
    </w:p>
    <w:p w14:paraId="4FC57BA6" w14:textId="77777777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The language used by both parties demonstrated an intention to create legal relations.</w:t>
      </w:r>
    </w:p>
    <w:p w14:paraId="0CB799E6" w14:textId="219300CE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b/>
          <w:bCs/>
          <w:lang w:val="en-US"/>
        </w:rPr>
        <w:t xml:space="preserve"> Principle</w:t>
      </w:r>
      <w:r w:rsidRPr="00055CF9">
        <w:rPr>
          <w:rFonts w:ascii="Times New Roman" w:hAnsi="Times New Roman" w:cs="Times New Roman"/>
          <w:lang w:val="en-US"/>
        </w:rPr>
        <w:t>:</w:t>
      </w:r>
    </w:p>
    <w:p w14:paraId="7A97C0DB" w14:textId="77777777" w:rsidR="00055CF9" w:rsidRPr="00055CF9" w:rsidRDefault="00055CF9" w:rsidP="00055CF9">
      <w:pP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The case established that if an offer is clear and unequivocal, and it is accepted in a similarly clear and unequivocal manner, a legally binding contract is formed.</w:t>
      </w:r>
    </w:p>
    <w:p w14:paraId="7776AF7C" w14:textId="586B143A" w:rsidR="00EB70D0" w:rsidRPr="00EB70D0" w:rsidRDefault="00055CF9" w:rsidP="00EB70D0">
      <w:pPr>
        <w:pBdr>
          <w:bottom w:val="single" w:sz="6" w:space="1" w:color="auto"/>
        </w:pBdr>
        <w:rPr>
          <w:rFonts w:ascii="Times New Roman" w:hAnsi="Times New Roman" w:cs="Times New Roman"/>
          <w:lang w:val="en-US"/>
        </w:rPr>
      </w:pPr>
      <w:r w:rsidRPr="00055CF9">
        <w:rPr>
          <w:rFonts w:ascii="Times New Roman" w:hAnsi="Times New Roman" w:cs="Times New Roman"/>
          <w:lang w:val="en-US"/>
        </w:rPr>
        <w:t>- The court emphasized the need to interpret communications in their factual context to determine the intention of the parties.</w:t>
      </w:r>
    </w:p>
    <w:p w14:paraId="41ECCF1F" w14:textId="78E20873" w:rsidR="00EB70D0" w:rsidRDefault="00EB70D0" w:rsidP="00EB70D0">
      <w:pPr>
        <w:rPr>
          <w:rFonts w:ascii="Times New Roman" w:hAnsi="Times New Roman" w:cs="Times New Roman"/>
          <w:lang w:val="en-US"/>
        </w:rPr>
      </w:pPr>
      <w:r w:rsidRPr="00EB70D0">
        <w:rPr>
          <w:rFonts w:ascii="Times New Roman" w:hAnsi="Times New Roman" w:cs="Times New Roman"/>
          <w:b/>
          <w:bCs/>
          <w:lang w:val="en-US"/>
        </w:rPr>
        <w:t>Smith v. Mansi [1962] 3 All ER 857,</w:t>
      </w:r>
    </w:p>
    <w:p w14:paraId="4CD6C9C3" w14:textId="77777777" w:rsidR="00EB70D0" w:rsidRPr="00EB70D0" w:rsidRDefault="00EB70D0" w:rsidP="00EB70D0">
      <w:pPr>
        <w:rPr>
          <w:rFonts w:ascii="Times New Roman" w:hAnsi="Times New Roman" w:cs="Times New Roman"/>
          <w:b/>
          <w:bCs/>
          <w:lang w:val="en-US"/>
        </w:rPr>
      </w:pPr>
      <w:r w:rsidRPr="00EB70D0">
        <w:rPr>
          <w:rFonts w:ascii="Times New Roman" w:hAnsi="Times New Roman" w:cs="Times New Roman"/>
          <w:b/>
          <w:bCs/>
          <w:lang w:val="en-US"/>
        </w:rPr>
        <w:t>Facts</w:t>
      </w:r>
    </w:p>
    <w:p w14:paraId="36B2E9BE" w14:textId="77777777" w:rsidR="00EB70D0" w:rsidRDefault="00EB70D0" w:rsidP="00EB70D0">
      <w:pPr>
        <w:rPr>
          <w:rFonts w:ascii="Times New Roman" w:hAnsi="Times New Roman" w:cs="Times New Roman"/>
          <w:lang w:val="en-US"/>
        </w:rPr>
      </w:pPr>
      <w:r w:rsidRPr="00EB70D0">
        <w:rPr>
          <w:rFonts w:ascii="Times New Roman" w:hAnsi="Times New Roman" w:cs="Times New Roman"/>
          <w:lang w:val="en-US"/>
        </w:rPr>
        <w:t xml:space="preserve"> the case arose from a property transaction where both the vendor and the purchaser were represented by the same solicitor. A dispute emerged about whether a valid contract for the sale of land had been formed in the absence of a physical exchange of signed documents between the parties.  </w:t>
      </w:r>
    </w:p>
    <w:p w14:paraId="4A925BE8" w14:textId="5AE5A334" w:rsidR="00EB70D0" w:rsidRPr="00EB70D0" w:rsidRDefault="00EB70D0" w:rsidP="00EB70D0">
      <w:pPr>
        <w:rPr>
          <w:rFonts w:ascii="Times New Roman" w:hAnsi="Times New Roman" w:cs="Times New Roman"/>
          <w:b/>
          <w:bCs/>
          <w:lang w:val="en-US"/>
        </w:rPr>
      </w:pPr>
      <w:r w:rsidRPr="00EB70D0">
        <w:rPr>
          <w:rFonts w:ascii="Times New Roman" w:hAnsi="Times New Roman" w:cs="Times New Roman"/>
          <w:b/>
          <w:bCs/>
          <w:lang w:val="en-US"/>
        </w:rPr>
        <w:t xml:space="preserve">Issue  </w:t>
      </w:r>
    </w:p>
    <w:p w14:paraId="6BDCAAB8" w14:textId="77777777" w:rsidR="00EB70D0" w:rsidRPr="00EB70D0" w:rsidRDefault="00EB70D0" w:rsidP="00EB70D0">
      <w:pPr>
        <w:rPr>
          <w:rFonts w:ascii="Times New Roman" w:hAnsi="Times New Roman" w:cs="Times New Roman"/>
          <w:lang w:val="en-US"/>
        </w:rPr>
      </w:pPr>
      <w:r w:rsidRPr="00EB70D0">
        <w:rPr>
          <w:rFonts w:ascii="Times New Roman" w:hAnsi="Times New Roman" w:cs="Times New Roman"/>
          <w:lang w:val="en-US"/>
        </w:rPr>
        <w:t xml:space="preserve">Does the exchange of contracts in a property sale require a physical swapping of signed documents, or can a solicitor holding the signed contracts for both parties suffice to form a binding agreement?  </w:t>
      </w:r>
    </w:p>
    <w:p w14:paraId="6E3C20DC" w14:textId="6B35342B" w:rsidR="00EB70D0" w:rsidRPr="00EB70D0" w:rsidRDefault="00EB70D0" w:rsidP="00EB70D0">
      <w:pPr>
        <w:rPr>
          <w:rFonts w:ascii="Times New Roman" w:hAnsi="Times New Roman" w:cs="Times New Roman"/>
          <w:b/>
          <w:bCs/>
          <w:lang w:val="en-US"/>
        </w:rPr>
      </w:pPr>
      <w:r w:rsidRPr="00EB70D0">
        <w:rPr>
          <w:rFonts w:ascii="Times New Roman" w:hAnsi="Times New Roman" w:cs="Times New Roman"/>
          <w:b/>
          <w:bCs/>
          <w:lang w:val="en-US"/>
        </w:rPr>
        <w:t xml:space="preserve"> Decision  </w:t>
      </w:r>
    </w:p>
    <w:p w14:paraId="1CF70622" w14:textId="731F4171" w:rsidR="00EB70D0" w:rsidRPr="00EB70D0" w:rsidRDefault="00EB70D0" w:rsidP="00EB70D0">
      <w:pPr>
        <w:rPr>
          <w:rFonts w:ascii="Times New Roman" w:hAnsi="Times New Roman" w:cs="Times New Roman"/>
          <w:lang w:val="en-US"/>
        </w:rPr>
      </w:pPr>
      <w:r w:rsidRPr="00EB70D0">
        <w:rPr>
          <w:rFonts w:ascii="Times New Roman" w:hAnsi="Times New Roman" w:cs="Times New Roman"/>
          <w:lang w:val="en-US"/>
        </w:rPr>
        <w:t xml:space="preserve">The court held that a valid exchange of contracts occurred when each party signed the </w:t>
      </w:r>
      <w:proofErr w:type="gramStart"/>
      <w:r w:rsidRPr="00EB70D0">
        <w:rPr>
          <w:rFonts w:ascii="Times New Roman" w:hAnsi="Times New Roman" w:cs="Times New Roman"/>
          <w:lang w:val="en-US"/>
        </w:rPr>
        <w:t>contract</w:t>
      </w:r>
      <w:proofErr w:type="gramEnd"/>
      <w:r w:rsidRPr="00EB70D0">
        <w:rPr>
          <w:rFonts w:ascii="Times New Roman" w:hAnsi="Times New Roman" w:cs="Times New Roman"/>
          <w:lang w:val="en-US"/>
        </w:rPr>
        <w:t xml:space="preserve"> and the solicitor retained the documents on behalf of both parties. The physical swapping of documents was deemed unnecessary in this context.  </w:t>
      </w:r>
    </w:p>
    <w:p w14:paraId="4BB301D8" w14:textId="111E7494" w:rsidR="00EB70D0" w:rsidRPr="00EB70D0" w:rsidRDefault="00EB70D0" w:rsidP="00EB70D0">
      <w:pPr>
        <w:rPr>
          <w:rFonts w:ascii="Times New Roman" w:hAnsi="Times New Roman" w:cs="Times New Roman"/>
          <w:b/>
          <w:bCs/>
          <w:lang w:val="en-US"/>
        </w:rPr>
      </w:pPr>
      <w:r w:rsidRPr="00EB70D0">
        <w:rPr>
          <w:rFonts w:ascii="Times New Roman" w:hAnsi="Times New Roman" w:cs="Times New Roman"/>
          <w:b/>
          <w:bCs/>
          <w:lang w:val="en-US"/>
        </w:rPr>
        <w:t xml:space="preserve">Principle  </w:t>
      </w:r>
    </w:p>
    <w:p w14:paraId="37D408CF" w14:textId="2D5A9DDA" w:rsidR="00055CF9" w:rsidRPr="00055CF9" w:rsidRDefault="00EB70D0" w:rsidP="00EB70D0">
      <w:pPr>
        <w:rPr>
          <w:rFonts w:ascii="Times New Roman" w:hAnsi="Times New Roman" w:cs="Times New Roman"/>
          <w:lang w:val="en-US"/>
        </w:rPr>
      </w:pPr>
      <w:r w:rsidRPr="00EB70D0">
        <w:rPr>
          <w:rFonts w:ascii="Times New Roman" w:hAnsi="Times New Roman" w:cs="Times New Roman"/>
          <w:lang w:val="en-US"/>
        </w:rPr>
        <w:t xml:space="preserve">The ruling emphasized that the essence of contract exchange is the mutual assent to the terms of the agreement, not the physical act of document swapping. Lord Justice </w:t>
      </w:r>
      <w:proofErr w:type="spellStart"/>
      <w:r w:rsidRPr="00EB70D0">
        <w:rPr>
          <w:rFonts w:ascii="Times New Roman" w:hAnsi="Times New Roman" w:cs="Times New Roman"/>
          <w:lang w:val="en-US"/>
        </w:rPr>
        <w:t>Danckwerts</w:t>
      </w:r>
      <w:proofErr w:type="spellEnd"/>
      <w:r w:rsidRPr="00EB70D0">
        <w:rPr>
          <w:rFonts w:ascii="Times New Roman" w:hAnsi="Times New Roman" w:cs="Times New Roman"/>
          <w:lang w:val="en-US"/>
        </w:rPr>
        <w:t xml:space="preserve"> described the strict requirement for physical exchange as "artificial nonsense," highlighting that practical and reasonable procedures could suffice to establish a binding contract.  </w:t>
      </w:r>
    </w:p>
    <w:sectPr w:rsidR="00055CF9" w:rsidRPr="00055CF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8E06" w14:textId="77777777" w:rsidR="007001D7" w:rsidRDefault="007001D7" w:rsidP="00372E51">
      <w:pPr>
        <w:spacing w:after="0" w:line="240" w:lineRule="auto"/>
      </w:pPr>
      <w:r>
        <w:separator/>
      </w:r>
    </w:p>
  </w:endnote>
  <w:endnote w:type="continuationSeparator" w:id="0">
    <w:p w14:paraId="20CB9562" w14:textId="77777777" w:rsidR="007001D7" w:rsidRDefault="007001D7" w:rsidP="0037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1866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908A4FD" w14:textId="1943FF9E" w:rsidR="00372E51" w:rsidRDefault="00372E51" w:rsidP="00A73BE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4E4CFE7" w14:textId="77777777" w:rsidR="00372E51" w:rsidRDefault="00372E51" w:rsidP="00372E5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8914106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5CCB68A" w14:textId="7A708952" w:rsidR="00372E51" w:rsidRDefault="00372E51" w:rsidP="00A73BE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8DA9D2D" w14:textId="77777777" w:rsidR="00372E51" w:rsidRDefault="00372E51" w:rsidP="00372E5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7E67" w14:textId="77777777" w:rsidR="007001D7" w:rsidRDefault="007001D7" w:rsidP="00372E51">
      <w:pPr>
        <w:spacing w:after="0" w:line="240" w:lineRule="auto"/>
      </w:pPr>
      <w:r>
        <w:separator/>
      </w:r>
    </w:p>
  </w:footnote>
  <w:footnote w:type="continuationSeparator" w:id="0">
    <w:p w14:paraId="6BBD6F5B" w14:textId="77777777" w:rsidR="007001D7" w:rsidRDefault="007001D7" w:rsidP="00372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F9"/>
    <w:rsid w:val="00055CF9"/>
    <w:rsid w:val="000624BF"/>
    <w:rsid w:val="00140631"/>
    <w:rsid w:val="00372E51"/>
    <w:rsid w:val="007001D7"/>
    <w:rsid w:val="00CD57A4"/>
    <w:rsid w:val="00E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D325"/>
  <w15:chartTrackingRefBased/>
  <w15:docId w15:val="{9972889A-0D8A-444E-B3AB-845DB61B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5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5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5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5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5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5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5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5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5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5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5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5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5C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5C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5C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5C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5C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5C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5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5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5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5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5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5C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5C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5C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5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5C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5CF9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372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2E51"/>
  </w:style>
  <w:style w:type="character" w:styleId="Numrodepage">
    <w:name w:val="page number"/>
    <w:basedOn w:val="Policepardfaut"/>
    <w:uiPriority w:val="99"/>
    <w:semiHidden/>
    <w:unhideWhenUsed/>
    <w:rsid w:val="00372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Julian</dc:creator>
  <cp:keywords/>
  <dc:description/>
  <cp:lastModifiedBy>Souad BASTIDE</cp:lastModifiedBy>
  <cp:revision>2</cp:revision>
  <cp:lastPrinted>2025-01-22T15:10:00Z</cp:lastPrinted>
  <dcterms:created xsi:type="dcterms:W3CDTF">2025-02-18T12:29:00Z</dcterms:created>
  <dcterms:modified xsi:type="dcterms:W3CDTF">2025-02-18T12:29:00Z</dcterms:modified>
</cp:coreProperties>
</file>