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212"/>
      </w:tblGrid>
      <w:tr w:rsidR="00207878" w:rsidRPr="00207878" w:rsidTr="00951FDD">
        <w:tc>
          <w:tcPr>
            <w:tcW w:w="9212" w:type="dxa"/>
          </w:tcPr>
          <w:p w:rsidR="00951FDD" w:rsidRPr="00207878" w:rsidRDefault="00951FDD" w:rsidP="00951FDD">
            <w:pPr>
              <w:jc w:val="center"/>
              <w:rPr>
                <w:rFonts w:cs="Times New Roman"/>
                <w:b/>
                <w:i/>
                <w:color w:val="BFBFBF" w:themeColor="background1" w:themeShade="BF"/>
                <w:sz w:val="28"/>
                <w:szCs w:val="24"/>
              </w:rPr>
            </w:pPr>
            <w:r w:rsidRPr="00207878">
              <w:rPr>
                <w:rFonts w:cs="Times New Roman"/>
                <w:b/>
                <w:i/>
                <w:color w:val="BFBFBF" w:themeColor="background1" w:themeShade="BF"/>
                <w:sz w:val="28"/>
                <w:szCs w:val="24"/>
              </w:rPr>
              <w:t>Cas 380</w:t>
            </w:r>
          </w:p>
        </w:tc>
      </w:tr>
    </w:tbl>
    <w:p w:rsidR="003B0974" w:rsidRPr="00207878" w:rsidRDefault="003B0974" w:rsidP="007B63D7">
      <w:pPr>
        <w:spacing w:after="0" w:line="240" w:lineRule="auto"/>
        <w:jc w:val="both"/>
        <w:rPr>
          <w:rFonts w:cs="Times New Roman"/>
          <w:color w:val="BFBFBF" w:themeColor="background1" w:themeShade="BF"/>
          <w:sz w:val="24"/>
          <w:szCs w:val="24"/>
        </w:rPr>
      </w:pPr>
    </w:p>
    <w:p w:rsidR="003F2C20" w:rsidRPr="00207878" w:rsidRDefault="003F2C20" w:rsidP="007B63D7">
      <w:pPr>
        <w:spacing w:after="0" w:line="240" w:lineRule="auto"/>
        <w:jc w:val="both"/>
        <w:rPr>
          <w:rFonts w:cs="Times New Roman"/>
          <w:color w:val="BFBFBF" w:themeColor="background1" w:themeShade="BF"/>
          <w:sz w:val="24"/>
          <w:szCs w:val="24"/>
        </w:rPr>
      </w:pPr>
      <w:r w:rsidRPr="00207878">
        <w:rPr>
          <w:rFonts w:cs="Times New Roman"/>
          <w:color w:val="BFBFBF" w:themeColor="background1" w:themeShade="BF"/>
          <w:sz w:val="24"/>
          <w:szCs w:val="24"/>
        </w:rPr>
        <w:t>Aerojet est une entreprise de transport aérien qui comprend trois divisions : Passagers, Fret et Maintenance.</w:t>
      </w:r>
      <w:r w:rsidR="002B5881" w:rsidRPr="00207878">
        <w:rPr>
          <w:rFonts w:cs="Times New Roman"/>
          <w:color w:val="BFBFBF" w:themeColor="background1" w:themeShade="BF"/>
          <w:sz w:val="24"/>
          <w:szCs w:val="24"/>
        </w:rPr>
        <w:t xml:space="preserve"> </w:t>
      </w:r>
      <w:r w:rsidRPr="00207878">
        <w:rPr>
          <w:rFonts w:cs="Times New Roman"/>
          <w:color w:val="BFBFBF" w:themeColor="background1" w:themeShade="BF"/>
          <w:sz w:val="24"/>
          <w:szCs w:val="24"/>
        </w:rPr>
        <w:t>L’annexe 1 décrit la division Passagers. L’annexe 2 expose les problèmes de la division Maintenance.</w:t>
      </w:r>
    </w:p>
    <w:p w:rsidR="00CF77F3" w:rsidRDefault="003F2C20" w:rsidP="007B63D7">
      <w:pPr>
        <w:spacing w:after="0" w:line="240" w:lineRule="auto"/>
        <w:jc w:val="both"/>
        <w:rPr>
          <w:rFonts w:cs="Times New Roman"/>
          <w:b/>
          <w:i/>
          <w:color w:val="BFBFBF" w:themeColor="background1" w:themeShade="BF"/>
          <w:sz w:val="24"/>
          <w:szCs w:val="24"/>
        </w:rPr>
      </w:pPr>
      <w:r w:rsidRPr="00207878">
        <w:rPr>
          <w:rFonts w:cs="Times New Roman"/>
          <w:b/>
          <w:i/>
          <w:color w:val="BFBFBF" w:themeColor="background1" w:themeShade="BF"/>
          <w:sz w:val="24"/>
          <w:szCs w:val="24"/>
        </w:rPr>
        <w:t xml:space="preserve">1. </w:t>
      </w:r>
      <w:r w:rsidR="00F36607" w:rsidRPr="00207878">
        <w:rPr>
          <w:rFonts w:cs="Times New Roman"/>
          <w:b/>
          <w:i/>
          <w:color w:val="BFBFBF" w:themeColor="background1" w:themeShade="BF"/>
          <w:sz w:val="24"/>
          <w:szCs w:val="24"/>
        </w:rPr>
        <w:t>Établir</w:t>
      </w:r>
      <w:r w:rsidRPr="00207878">
        <w:rPr>
          <w:rFonts w:cs="Times New Roman"/>
          <w:b/>
          <w:i/>
          <w:color w:val="BFBFBF" w:themeColor="background1" w:themeShade="BF"/>
          <w:sz w:val="24"/>
          <w:szCs w:val="24"/>
        </w:rPr>
        <w:t xml:space="preserve"> l’état pr</w:t>
      </w:r>
      <w:r w:rsidR="00B93328" w:rsidRPr="00207878">
        <w:rPr>
          <w:rFonts w:cs="Times New Roman"/>
          <w:b/>
          <w:i/>
          <w:color w:val="BFBFBF" w:themeColor="background1" w:themeShade="BF"/>
          <w:sz w:val="24"/>
          <w:szCs w:val="24"/>
        </w:rPr>
        <w:t>évisionnel de la marge sur coût spécifique</w:t>
      </w:r>
      <w:r w:rsidRPr="00207878">
        <w:rPr>
          <w:rFonts w:cs="Times New Roman"/>
          <w:b/>
          <w:i/>
          <w:color w:val="BFBFBF" w:themeColor="background1" w:themeShade="BF"/>
          <w:sz w:val="24"/>
          <w:szCs w:val="24"/>
        </w:rPr>
        <w:t xml:space="preserve"> de chacune des lignes</w:t>
      </w:r>
      <w:r w:rsidR="0016428A" w:rsidRPr="00207878">
        <w:rPr>
          <w:rFonts w:cs="Times New Roman"/>
          <w:b/>
          <w:i/>
          <w:color w:val="BFBFBF" w:themeColor="background1" w:themeShade="BF"/>
          <w:sz w:val="24"/>
          <w:szCs w:val="24"/>
        </w:rPr>
        <w:t xml:space="preserve"> passagers</w:t>
      </w:r>
      <w:r w:rsidR="00B93328" w:rsidRPr="00207878">
        <w:rPr>
          <w:rFonts w:cs="Times New Roman"/>
          <w:b/>
          <w:i/>
          <w:color w:val="BFBFBF" w:themeColor="background1" w:themeShade="BF"/>
          <w:sz w:val="24"/>
          <w:szCs w:val="24"/>
        </w:rPr>
        <w:t xml:space="preserve"> et du résultat de la division P</w:t>
      </w:r>
      <w:r w:rsidR="0016428A" w:rsidRPr="00207878">
        <w:rPr>
          <w:rFonts w:cs="Times New Roman"/>
          <w:b/>
          <w:i/>
          <w:color w:val="BFBFBF" w:themeColor="background1" w:themeShade="BF"/>
          <w:sz w:val="24"/>
          <w:szCs w:val="24"/>
        </w:rPr>
        <w:t xml:space="preserve">assagers pour l’année N. </w:t>
      </w:r>
    </w:p>
    <w:p w:rsidR="00207878" w:rsidRDefault="00207878" w:rsidP="007B63D7">
      <w:pPr>
        <w:spacing w:after="0" w:line="240" w:lineRule="auto"/>
        <w:jc w:val="both"/>
        <w:rPr>
          <w:rFonts w:cs="Times New Roman"/>
          <w:b/>
          <w:i/>
          <w:color w:val="BFBFBF" w:themeColor="background1" w:themeShade="BF"/>
          <w:sz w:val="24"/>
          <w:szCs w:val="24"/>
        </w:rPr>
      </w:pPr>
    </w:p>
    <w:tbl>
      <w:tblPr>
        <w:tblW w:w="5000" w:type="pct"/>
        <w:tblCellMar>
          <w:left w:w="70" w:type="dxa"/>
          <w:right w:w="70" w:type="dxa"/>
        </w:tblCellMar>
        <w:tblLook w:val="04A0" w:firstRow="1" w:lastRow="0" w:firstColumn="1" w:lastColumn="0" w:noHBand="0" w:noVBand="1"/>
      </w:tblPr>
      <w:tblGrid>
        <w:gridCol w:w="2477"/>
        <w:gridCol w:w="1726"/>
        <w:gridCol w:w="1669"/>
        <w:gridCol w:w="1669"/>
        <w:gridCol w:w="1671"/>
      </w:tblGrid>
      <w:tr w:rsidR="006C51AC" w:rsidRPr="00207878" w:rsidTr="006C51AC">
        <w:trPr>
          <w:trHeight w:val="290"/>
        </w:trPr>
        <w:tc>
          <w:tcPr>
            <w:tcW w:w="5000" w:type="pct"/>
            <w:gridSpan w:val="5"/>
            <w:tcBorders>
              <w:top w:val="single" w:sz="8" w:space="0" w:color="auto"/>
              <w:left w:val="single" w:sz="8" w:space="0" w:color="auto"/>
              <w:bottom w:val="single" w:sz="4" w:space="0" w:color="auto"/>
              <w:right w:val="single" w:sz="8" w:space="0" w:color="auto"/>
            </w:tcBorders>
            <w:shd w:val="clear" w:color="auto" w:fill="auto"/>
            <w:noWrap/>
            <w:vAlign w:val="bottom"/>
          </w:tcPr>
          <w:p w:rsidR="006C51AC" w:rsidRPr="00207878" w:rsidRDefault="006C51AC" w:rsidP="0020787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Tableau de résultat analytique (en fonction de la variabilité des charges) pour l’exercice n</w:t>
            </w:r>
          </w:p>
        </w:tc>
      </w:tr>
      <w:tr w:rsidR="00207878" w:rsidRPr="00207878" w:rsidTr="00207878">
        <w:trPr>
          <w:trHeight w:val="290"/>
        </w:trPr>
        <w:tc>
          <w:tcPr>
            <w:tcW w:w="134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 </w:t>
            </w:r>
          </w:p>
        </w:tc>
        <w:tc>
          <w:tcPr>
            <w:tcW w:w="937" w:type="pct"/>
            <w:tcBorders>
              <w:top w:val="single" w:sz="8" w:space="0" w:color="auto"/>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MA</w:t>
            </w:r>
          </w:p>
        </w:tc>
        <w:tc>
          <w:tcPr>
            <w:tcW w:w="906" w:type="pct"/>
            <w:tcBorders>
              <w:top w:val="single" w:sz="8" w:space="0" w:color="auto"/>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MB</w:t>
            </w:r>
          </w:p>
        </w:tc>
        <w:tc>
          <w:tcPr>
            <w:tcW w:w="906" w:type="pct"/>
            <w:tcBorders>
              <w:top w:val="single" w:sz="8" w:space="0" w:color="auto"/>
              <w:left w:val="nil"/>
              <w:bottom w:val="single" w:sz="4" w:space="0" w:color="auto"/>
              <w:right w:val="single" w:sz="4" w:space="0" w:color="auto"/>
            </w:tcBorders>
            <w:shd w:val="clear" w:color="auto" w:fill="auto"/>
            <w:vAlign w:val="bottom"/>
            <w:hideMark/>
          </w:tcPr>
          <w:p w:rsidR="00207878" w:rsidRPr="00207878" w:rsidRDefault="00207878" w:rsidP="00207878">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MM</w:t>
            </w:r>
          </w:p>
        </w:tc>
        <w:tc>
          <w:tcPr>
            <w:tcW w:w="907" w:type="pct"/>
            <w:tcBorders>
              <w:top w:val="single" w:sz="8" w:space="0" w:color="auto"/>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MS</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CA</w:t>
            </w:r>
          </w:p>
        </w:tc>
        <w:tc>
          <w:tcPr>
            <w:tcW w:w="937"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2 932</w:t>
            </w:r>
            <w:r>
              <w:rPr>
                <w:rFonts w:ascii="Calibri" w:eastAsia="Times New Roman" w:hAnsi="Calibri" w:cs="Times New Roman"/>
                <w:color w:val="000000"/>
              </w:rPr>
              <w:t> </w:t>
            </w:r>
            <w:r w:rsidRPr="00207878">
              <w:rPr>
                <w:rFonts w:ascii="Calibri" w:eastAsia="Times New Roman" w:hAnsi="Calibri" w:cs="Times New Roman"/>
                <w:color w:val="000000"/>
              </w:rPr>
              <w:t>800</w:t>
            </w:r>
            <w:r>
              <w:rPr>
                <w:rFonts w:ascii="Calibri" w:eastAsia="Times New Roman" w:hAnsi="Calibri" w:cs="Times New Roman"/>
                <w:color w:val="000000"/>
              </w:rPr>
              <w:t xml:space="preserve"> *</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6 552 000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5 366 400</w:t>
            </w:r>
          </w:p>
        </w:tc>
        <w:tc>
          <w:tcPr>
            <w:tcW w:w="907" w:type="pct"/>
            <w:tcBorders>
              <w:top w:val="nil"/>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7 862 400</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 xml:space="preserve"> - carburant</w:t>
            </w:r>
          </w:p>
        </w:tc>
        <w:tc>
          <w:tcPr>
            <w:tcW w:w="937"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2 620</w:t>
            </w:r>
            <w:r w:rsidR="006C51AC">
              <w:rPr>
                <w:rFonts w:ascii="Calibri" w:eastAsia="Times New Roman" w:hAnsi="Calibri" w:cs="Times New Roman"/>
                <w:color w:val="000000"/>
              </w:rPr>
              <w:t> </w:t>
            </w:r>
            <w:r w:rsidRPr="00207878">
              <w:rPr>
                <w:rFonts w:ascii="Calibri" w:eastAsia="Times New Roman" w:hAnsi="Calibri" w:cs="Times New Roman"/>
                <w:color w:val="000000"/>
              </w:rPr>
              <w:t>800</w:t>
            </w:r>
            <w:r w:rsidR="006C51AC">
              <w:rPr>
                <w:rFonts w:ascii="Calibri" w:eastAsia="Times New Roman" w:hAnsi="Calibri" w:cs="Times New Roman"/>
                <w:color w:val="000000"/>
              </w:rPr>
              <w:t xml:space="preserve"> **</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5 616 000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3 369 600</w:t>
            </w:r>
          </w:p>
        </w:tc>
        <w:tc>
          <w:tcPr>
            <w:tcW w:w="907" w:type="pct"/>
            <w:tcBorders>
              <w:top w:val="nil"/>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6 364 800</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 xml:space="preserve"> - rémunératio</w:t>
            </w:r>
            <w:r w:rsidR="006C51AC">
              <w:rPr>
                <w:rFonts w:ascii="Calibri" w:eastAsia="Times New Roman" w:hAnsi="Calibri" w:cs="Times New Roman"/>
                <w:color w:val="000000"/>
              </w:rPr>
              <w:t>n équip.</w:t>
            </w:r>
          </w:p>
        </w:tc>
        <w:tc>
          <w:tcPr>
            <w:tcW w:w="937"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249</w:t>
            </w:r>
            <w:r w:rsidR="006C51AC">
              <w:rPr>
                <w:rFonts w:ascii="Calibri" w:eastAsia="Times New Roman" w:hAnsi="Calibri" w:cs="Times New Roman"/>
                <w:color w:val="000000"/>
              </w:rPr>
              <w:t> </w:t>
            </w:r>
            <w:r w:rsidRPr="00207878">
              <w:rPr>
                <w:rFonts w:ascii="Calibri" w:eastAsia="Times New Roman" w:hAnsi="Calibri" w:cs="Times New Roman"/>
                <w:color w:val="000000"/>
              </w:rPr>
              <w:t>600</w:t>
            </w:r>
            <w:r w:rsidR="006C51AC">
              <w:rPr>
                <w:rFonts w:ascii="Calibri" w:eastAsia="Times New Roman" w:hAnsi="Calibri" w:cs="Times New Roman"/>
                <w:color w:val="000000"/>
              </w:rPr>
              <w:t xml:space="preserve"> ***</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249 600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249 600</w:t>
            </w:r>
          </w:p>
        </w:tc>
        <w:tc>
          <w:tcPr>
            <w:tcW w:w="907" w:type="pct"/>
            <w:tcBorders>
              <w:top w:val="nil"/>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249 600</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MCV</w:t>
            </w:r>
          </w:p>
        </w:tc>
        <w:tc>
          <w:tcPr>
            <w:tcW w:w="937"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62 400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686 400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1 747 200</w:t>
            </w:r>
          </w:p>
        </w:tc>
        <w:tc>
          <w:tcPr>
            <w:tcW w:w="907" w:type="pct"/>
            <w:tcBorders>
              <w:top w:val="nil"/>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1 248 000</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(Taux de MCV)</w:t>
            </w:r>
          </w:p>
        </w:tc>
        <w:tc>
          <w:tcPr>
            <w:tcW w:w="937"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2,13%</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10,48%</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32,56%</w:t>
            </w:r>
          </w:p>
        </w:tc>
        <w:tc>
          <w:tcPr>
            <w:tcW w:w="907" w:type="pct"/>
            <w:tcBorders>
              <w:top w:val="nil"/>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15,87%</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CF spécifiques</w:t>
            </w:r>
          </w:p>
        </w:tc>
        <w:tc>
          <w:tcPr>
            <w:tcW w:w="937"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200 000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200 000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200 000</w:t>
            </w:r>
          </w:p>
        </w:tc>
        <w:tc>
          <w:tcPr>
            <w:tcW w:w="907" w:type="pct"/>
            <w:tcBorders>
              <w:top w:val="nil"/>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200 000</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Contribution</w:t>
            </w:r>
          </w:p>
        </w:tc>
        <w:tc>
          <w:tcPr>
            <w:tcW w:w="937"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-137 600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486 400</w:t>
            </w:r>
          </w:p>
        </w:tc>
        <w:tc>
          <w:tcPr>
            <w:tcW w:w="906" w:type="pct"/>
            <w:tcBorders>
              <w:top w:val="nil"/>
              <w:left w:val="nil"/>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1 547 200</w:t>
            </w:r>
          </w:p>
        </w:tc>
        <w:tc>
          <w:tcPr>
            <w:tcW w:w="907" w:type="pct"/>
            <w:tcBorders>
              <w:top w:val="nil"/>
              <w:left w:val="nil"/>
              <w:bottom w:val="single" w:sz="4" w:space="0" w:color="auto"/>
              <w:right w:val="single" w:sz="8"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1 048 000</w:t>
            </w:r>
          </w:p>
        </w:tc>
      </w:tr>
      <w:tr w:rsidR="00207878" w:rsidRPr="00207878" w:rsidTr="00207878">
        <w:trPr>
          <w:trHeight w:val="29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 xml:space="preserve"> - autres CF</w:t>
            </w:r>
          </w:p>
        </w:tc>
        <w:tc>
          <w:tcPr>
            <w:tcW w:w="3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3 000 000</w:t>
            </w:r>
          </w:p>
        </w:tc>
      </w:tr>
      <w:tr w:rsidR="00207878" w:rsidRPr="00207878" w:rsidTr="00207878">
        <w:trPr>
          <w:trHeight w:val="300"/>
        </w:trPr>
        <w:tc>
          <w:tcPr>
            <w:tcW w:w="1344" w:type="pct"/>
            <w:tcBorders>
              <w:top w:val="nil"/>
              <w:left w:val="single" w:sz="8" w:space="0" w:color="auto"/>
              <w:bottom w:val="single" w:sz="4" w:space="0" w:color="auto"/>
              <w:right w:val="single" w:sz="4" w:space="0" w:color="auto"/>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Résultat</w:t>
            </w:r>
          </w:p>
        </w:tc>
        <w:tc>
          <w:tcPr>
            <w:tcW w:w="3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207878" w:rsidRPr="00207878" w:rsidRDefault="00207878" w:rsidP="00207878">
            <w:pPr>
              <w:spacing w:after="0" w:line="240" w:lineRule="auto"/>
              <w:jc w:val="center"/>
              <w:rPr>
                <w:rFonts w:ascii="Calibri" w:eastAsia="Times New Roman" w:hAnsi="Calibri" w:cs="Times New Roman"/>
                <w:color w:val="000000"/>
              </w:rPr>
            </w:pPr>
            <w:r w:rsidRPr="00207878">
              <w:rPr>
                <w:rFonts w:ascii="Calibri" w:eastAsia="Times New Roman" w:hAnsi="Calibri" w:cs="Times New Roman"/>
                <w:color w:val="000000"/>
              </w:rPr>
              <w:t>-56 000</w:t>
            </w:r>
          </w:p>
        </w:tc>
      </w:tr>
      <w:tr w:rsidR="00207878" w:rsidRPr="00207878" w:rsidTr="006C51AC">
        <w:trPr>
          <w:trHeight w:val="300"/>
        </w:trPr>
        <w:tc>
          <w:tcPr>
            <w:tcW w:w="5000" w:type="pct"/>
            <w:gridSpan w:val="5"/>
            <w:tcBorders>
              <w:top w:val="single" w:sz="4" w:space="0" w:color="auto"/>
              <w:left w:val="single" w:sz="8" w:space="0" w:color="auto"/>
              <w:bottom w:val="single" w:sz="8" w:space="0" w:color="auto"/>
              <w:right w:val="single" w:sz="8" w:space="0" w:color="000000"/>
            </w:tcBorders>
            <w:shd w:val="clear" w:color="auto" w:fill="auto"/>
            <w:noWrap/>
            <w:vAlign w:val="center"/>
          </w:tcPr>
          <w:p w:rsidR="00207878" w:rsidRDefault="00207878"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2 932 800 = </w:t>
            </w:r>
            <w:r w:rsidR="006C51AC">
              <w:rPr>
                <w:rFonts w:ascii="Calibri" w:eastAsia="Times New Roman" w:hAnsi="Calibri" w:cs="Times New Roman"/>
                <w:color w:val="000000"/>
              </w:rPr>
              <w:t>4 * 6 * 52 * (15 * 50 + 20*80)</w:t>
            </w:r>
          </w:p>
          <w:p w:rsidR="006C51AC" w:rsidRDefault="006C51AC"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2 620 800 = 3000 * 0,7 * 4 * 6 * 52</w:t>
            </w:r>
          </w:p>
          <w:p w:rsidR="006C51AC" w:rsidRPr="00207878" w:rsidRDefault="006C51AC"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249 600 = 800 * 6 * 52</w:t>
            </w:r>
          </w:p>
        </w:tc>
      </w:tr>
    </w:tbl>
    <w:p w:rsidR="00207878" w:rsidRDefault="00207878" w:rsidP="007B63D7">
      <w:pPr>
        <w:spacing w:after="0" w:line="240" w:lineRule="auto"/>
        <w:jc w:val="both"/>
        <w:rPr>
          <w:rFonts w:cs="Times New Roman"/>
          <w:sz w:val="24"/>
          <w:szCs w:val="24"/>
        </w:rPr>
      </w:pPr>
    </w:p>
    <w:p w:rsidR="006C51AC" w:rsidRDefault="006C51AC" w:rsidP="007B63D7">
      <w:pPr>
        <w:spacing w:after="0" w:line="240" w:lineRule="auto"/>
        <w:jc w:val="both"/>
        <w:rPr>
          <w:rFonts w:cs="Times New Roman"/>
          <w:sz w:val="24"/>
          <w:szCs w:val="24"/>
        </w:rPr>
      </w:pPr>
      <w:r>
        <w:rPr>
          <w:rFonts w:cs="Times New Roman"/>
          <w:sz w:val="24"/>
          <w:szCs w:val="24"/>
        </w:rPr>
        <w:t>Le résultat est négatif (-56 000).</w:t>
      </w:r>
    </w:p>
    <w:p w:rsidR="006C51AC" w:rsidRPr="00207878" w:rsidRDefault="006C51AC" w:rsidP="007B63D7">
      <w:pPr>
        <w:spacing w:after="0" w:line="240" w:lineRule="auto"/>
        <w:jc w:val="both"/>
        <w:rPr>
          <w:rFonts w:cs="Times New Roman"/>
          <w:sz w:val="24"/>
          <w:szCs w:val="24"/>
        </w:rPr>
      </w:pPr>
      <w:r>
        <w:rPr>
          <w:rFonts w:cs="Times New Roman"/>
          <w:sz w:val="24"/>
          <w:szCs w:val="24"/>
        </w:rPr>
        <w:t>Les lignes MB, MM et MS ont des contributions positives. Ces trois lignes couvrent les autres coûts fixes. En revanche, la ligne MA a une contribution négative (137 600). L’arrêt de cette ligne permettrait d’augmenter le résultat de 137 600 ce qui ferait passer le résultat en positif.</w:t>
      </w:r>
    </w:p>
    <w:p w:rsidR="00207878" w:rsidRDefault="00207878" w:rsidP="007B63D7">
      <w:pPr>
        <w:spacing w:after="0" w:line="240" w:lineRule="auto"/>
        <w:jc w:val="both"/>
        <w:rPr>
          <w:rFonts w:cs="Times New Roman"/>
          <w:b/>
          <w:i/>
          <w:color w:val="BFBFBF" w:themeColor="background1" w:themeShade="BF"/>
          <w:sz w:val="24"/>
          <w:szCs w:val="24"/>
        </w:rPr>
      </w:pPr>
    </w:p>
    <w:p w:rsidR="0016428A" w:rsidRDefault="00CF77F3" w:rsidP="007B63D7">
      <w:pPr>
        <w:spacing w:after="0" w:line="240" w:lineRule="auto"/>
        <w:jc w:val="both"/>
        <w:rPr>
          <w:rFonts w:cs="Times New Roman"/>
          <w:b/>
          <w:i/>
          <w:color w:val="BFBFBF" w:themeColor="background1" w:themeShade="BF"/>
          <w:sz w:val="24"/>
          <w:szCs w:val="24"/>
        </w:rPr>
      </w:pPr>
      <w:r w:rsidRPr="00207878">
        <w:rPr>
          <w:rFonts w:cs="Times New Roman"/>
          <w:b/>
          <w:i/>
          <w:color w:val="BFBFBF" w:themeColor="background1" w:themeShade="BF"/>
          <w:sz w:val="24"/>
          <w:szCs w:val="24"/>
        </w:rPr>
        <w:t xml:space="preserve">2. </w:t>
      </w:r>
      <w:r w:rsidR="00915AC6" w:rsidRPr="00207878">
        <w:rPr>
          <w:rFonts w:cs="Times New Roman"/>
          <w:b/>
          <w:i/>
          <w:color w:val="BFBFBF" w:themeColor="background1" w:themeShade="BF"/>
          <w:sz w:val="24"/>
          <w:szCs w:val="24"/>
        </w:rPr>
        <w:t>C</w:t>
      </w:r>
      <w:r w:rsidR="003A507F" w:rsidRPr="00207878">
        <w:rPr>
          <w:rFonts w:cs="Times New Roman"/>
          <w:b/>
          <w:i/>
          <w:color w:val="BFBFBF" w:themeColor="background1" w:themeShade="BF"/>
          <w:sz w:val="24"/>
          <w:szCs w:val="24"/>
        </w:rPr>
        <w:t>alculer le seuil de rentabilité</w:t>
      </w:r>
      <w:r w:rsidR="001E4608" w:rsidRPr="00207878">
        <w:rPr>
          <w:rFonts w:cs="Times New Roman"/>
          <w:b/>
          <w:i/>
          <w:color w:val="BFBFBF" w:themeColor="background1" w:themeShade="BF"/>
          <w:sz w:val="24"/>
          <w:szCs w:val="24"/>
        </w:rPr>
        <w:t xml:space="preserve"> (CF spé / Tx de MCV)</w:t>
      </w:r>
      <w:r w:rsidR="003A507F" w:rsidRPr="00207878">
        <w:rPr>
          <w:rFonts w:cs="Times New Roman"/>
          <w:b/>
          <w:i/>
          <w:color w:val="BFBFBF" w:themeColor="background1" w:themeShade="BF"/>
          <w:sz w:val="24"/>
          <w:szCs w:val="24"/>
        </w:rPr>
        <w:t>, la marge</w:t>
      </w:r>
      <w:r w:rsidR="001E4608" w:rsidRPr="00207878">
        <w:rPr>
          <w:rFonts w:cs="Times New Roman"/>
          <w:b/>
          <w:i/>
          <w:color w:val="BFBFBF" w:themeColor="background1" w:themeShade="BF"/>
          <w:sz w:val="24"/>
          <w:szCs w:val="24"/>
        </w:rPr>
        <w:t xml:space="preserve"> (</w:t>
      </w:r>
      <w:r w:rsidR="006E5FDE" w:rsidRPr="00207878">
        <w:rPr>
          <w:rFonts w:cs="Times New Roman"/>
          <w:b/>
          <w:i/>
          <w:color w:val="BFBFBF" w:themeColor="background1" w:themeShade="BF"/>
          <w:sz w:val="24"/>
          <w:szCs w:val="24"/>
        </w:rPr>
        <w:t>CA – SR</w:t>
      </w:r>
      <w:r w:rsidR="001E4608" w:rsidRPr="00207878">
        <w:rPr>
          <w:rFonts w:cs="Times New Roman"/>
          <w:b/>
          <w:i/>
          <w:color w:val="BFBFBF" w:themeColor="background1" w:themeShade="BF"/>
          <w:sz w:val="24"/>
          <w:szCs w:val="24"/>
        </w:rPr>
        <w:t>)</w:t>
      </w:r>
      <w:r w:rsidR="003A507F" w:rsidRPr="00207878">
        <w:rPr>
          <w:rFonts w:cs="Times New Roman"/>
          <w:b/>
          <w:i/>
          <w:color w:val="BFBFBF" w:themeColor="background1" w:themeShade="BF"/>
          <w:sz w:val="24"/>
          <w:szCs w:val="24"/>
        </w:rPr>
        <w:t xml:space="preserve"> et l’indice de sécurité</w:t>
      </w:r>
      <w:r w:rsidR="006E5FDE" w:rsidRPr="00207878">
        <w:rPr>
          <w:rFonts w:cs="Times New Roman"/>
          <w:b/>
          <w:i/>
          <w:color w:val="BFBFBF" w:themeColor="background1" w:themeShade="BF"/>
          <w:sz w:val="24"/>
          <w:szCs w:val="24"/>
        </w:rPr>
        <w:t xml:space="preserve"> (CA </w:t>
      </w:r>
      <w:r w:rsidR="001E4608" w:rsidRPr="00207878">
        <w:rPr>
          <w:rFonts w:cs="Times New Roman"/>
          <w:b/>
          <w:i/>
          <w:color w:val="BFBFBF" w:themeColor="background1" w:themeShade="BF"/>
          <w:sz w:val="24"/>
          <w:szCs w:val="24"/>
        </w:rPr>
        <w:t>-</w:t>
      </w:r>
      <w:r w:rsidR="006E5FDE" w:rsidRPr="00207878">
        <w:rPr>
          <w:rFonts w:cs="Times New Roman"/>
          <w:b/>
          <w:i/>
          <w:color w:val="BFBFBF" w:themeColor="background1" w:themeShade="BF"/>
          <w:sz w:val="24"/>
          <w:szCs w:val="24"/>
        </w:rPr>
        <w:t xml:space="preserve"> SR</w:t>
      </w:r>
      <w:r w:rsidR="001E4608" w:rsidRPr="00207878">
        <w:rPr>
          <w:rFonts w:cs="Times New Roman"/>
          <w:b/>
          <w:i/>
          <w:color w:val="BFBFBF" w:themeColor="background1" w:themeShade="BF"/>
          <w:sz w:val="24"/>
          <w:szCs w:val="24"/>
        </w:rPr>
        <w:t xml:space="preserve"> / CA)</w:t>
      </w:r>
      <w:r w:rsidR="003A507F" w:rsidRPr="00207878">
        <w:rPr>
          <w:rFonts w:cs="Times New Roman"/>
          <w:b/>
          <w:i/>
          <w:color w:val="BFBFBF" w:themeColor="background1" w:themeShade="BF"/>
          <w:sz w:val="24"/>
          <w:szCs w:val="24"/>
        </w:rPr>
        <w:t>, le point mort et le levier opérationnel (</w:t>
      </w:r>
      <w:r w:rsidR="001E4608" w:rsidRPr="00207878">
        <w:rPr>
          <w:rFonts w:cs="Times New Roman"/>
          <w:b/>
          <w:i/>
          <w:color w:val="BFBFBF" w:themeColor="background1" w:themeShade="BF"/>
          <w:sz w:val="24"/>
          <w:szCs w:val="24"/>
        </w:rPr>
        <w:t>MCV / Contribution</w:t>
      </w:r>
      <w:r w:rsidRPr="00207878">
        <w:rPr>
          <w:rFonts w:cs="Times New Roman"/>
          <w:b/>
          <w:i/>
          <w:color w:val="BFBFBF" w:themeColor="background1" w:themeShade="BF"/>
          <w:sz w:val="24"/>
          <w:szCs w:val="24"/>
        </w:rPr>
        <w:t>)</w:t>
      </w:r>
      <w:r w:rsidR="00915AC6" w:rsidRPr="00207878">
        <w:rPr>
          <w:rFonts w:cs="Times New Roman"/>
          <w:b/>
          <w:i/>
          <w:color w:val="BFBFBF" w:themeColor="background1" w:themeShade="BF"/>
          <w:sz w:val="24"/>
          <w:szCs w:val="24"/>
        </w:rPr>
        <w:t xml:space="preserve">. </w:t>
      </w:r>
      <w:r w:rsidR="0016428A" w:rsidRPr="00207878">
        <w:rPr>
          <w:rFonts w:cs="Times New Roman"/>
          <w:b/>
          <w:i/>
          <w:color w:val="BFBFBF" w:themeColor="background1" w:themeShade="BF"/>
          <w:sz w:val="24"/>
          <w:szCs w:val="24"/>
        </w:rPr>
        <w:t>Commenter</w:t>
      </w:r>
      <w:r w:rsidR="00915AC6" w:rsidRPr="00207878">
        <w:rPr>
          <w:rFonts w:cs="Times New Roman"/>
          <w:b/>
          <w:i/>
          <w:color w:val="BFBFBF" w:themeColor="background1" w:themeShade="BF"/>
          <w:sz w:val="24"/>
          <w:szCs w:val="24"/>
        </w:rPr>
        <w:t xml:space="preserve"> les résultats</w:t>
      </w:r>
      <w:r w:rsidR="0016428A" w:rsidRPr="00207878">
        <w:rPr>
          <w:rFonts w:cs="Times New Roman"/>
          <w:b/>
          <w:i/>
          <w:color w:val="BFBFBF" w:themeColor="background1" w:themeShade="BF"/>
          <w:sz w:val="24"/>
          <w:szCs w:val="24"/>
        </w:rPr>
        <w:t>.</w:t>
      </w:r>
    </w:p>
    <w:p w:rsidR="006C51AC" w:rsidRDefault="006C51AC" w:rsidP="007B63D7">
      <w:pPr>
        <w:spacing w:after="0" w:line="240" w:lineRule="auto"/>
        <w:jc w:val="both"/>
        <w:rPr>
          <w:rFonts w:cs="Times New Roman"/>
          <w:b/>
          <w:i/>
          <w:color w:val="BFBFBF" w:themeColor="background1" w:themeShade="BF"/>
          <w:sz w:val="24"/>
          <w:szCs w:val="24"/>
        </w:rPr>
      </w:pPr>
    </w:p>
    <w:p w:rsidR="006C51AC" w:rsidRDefault="006C51AC" w:rsidP="007B63D7">
      <w:pPr>
        <w:spacing w:after="0" w:line="240" w:lineRule="auto"/>
        <w:jc w:val="both"/>
        <w:rPr>
          <w:rFonts w:cs="Times New Roman"/>
          <w:sz w:val="24"/>
          <w:szCs w:val="24"/>
        </w:rPr>
      </w:pPr>
      <w:r>
        <w:rPr>
          <w:rFonts w:cs="Times New Roman"/>
          <w:sz w:val="24"/>
          <w:szCs w:val="24"/>
        </w:rPr>
        <w:t>En présence de plusieurs produits, il s’agit de calculer les indicateurs ligne par ligne :</w:t>
      </w:r>
    </w:p>
    <w:tbl>
      <w:tblPr>
        <w:tblW w:w="5000" w:type="pct"/>
        <w:tblCellMar>
          <w:left w:w="70" w:type="dxa"/>
          <w:right w:w="70" w:type="dxa"/>
        </w:tblCellMar>
        <w:tblLook w:val="04A0" w:firstRow="1" w:lastRow="0" w:firstColumn="1" w:lastColumn="0" w:noHBand="0" w:noVBand="1"/>
      </w:tblPr>
      <w:tblGrid>
        <w:gridCol w:w="2454"/>
        <w:gridCol w:w="1815"/>
        <w:gridCol w:w="1647"/>
        <w:gridCol w:w="1647"/>
        <w:gridCol w:w="1649"/>
      </w:tblGrid>
      <w:tr w:rsidR="00BE2BD5" w:rsidRPr="006C51AC" w:rsidTr="00D03533">
        <w:trPr>
          <w:trHeight w:val="290"/>
        </w:trPr>
        <w:tc>
          <w:tcPr>
            <w:tcW w:w="1332" w:type="pct"/>
            <w:tcBorders>
              <w:top w:val="single" w:sz="8" w:space="0" w:color="auto"/>
              <w:left w:val="single" w:sz="8" w:space="0" w:color="auto"/>
              <w:bottom w:val="single" w:sz="4" w:space="0" w:color="auto"/>
              <w:right w:val="single" w:sz="4" w:space="0" w:color="auto"/>
            </w:tcBorders>
            <w:shd w:val="clear" w:color="000000" w:fill="D9D9D9"/>
            <w:noWrap/>
            <w:vAlign w:val="center"/>
          </w:tcPr>
          <w:p w:rsidR="00D03533" w:rsidRPr="006C51AC" w:rsidRDefault="00D03533" w:rsidP="006C51AC">
            <w:pPr>
              <w:spacing w:after="0" w:line="240" w:lineRule="auto"/>
              <w:jc w:val="center"/>
              <w:rPr>
                <w:rFonts w:ascii="Calibri" w:eastAsia="Times New Roman" w:hAnsi="Calibri" w:cs="Times New Roman"/>
                <w:color w:val="000000"/>
              </w:rPr>
            </w:pPr>
          </w:p>
        </w:tc>
        <w:tc>
          <w:tcPr>
            <w:tcW w:w="985" w:type="pct"/>
            <w:tcBorders>
              <w:top w:val="single" w:sz="8" w:space="0" w:color="auto"/>
              <w:left w:val="nil"/>
              <w:bottom w:val="single" w:sz="4" w:space="0" w:color="auto"/>
              <w:right w:val="single" w:sz="4" w:space="0" w:color="auto"/>
            </w:tcBorders>
            <w:shd w:val="clear" w:color="auto" w:fill="auto"/>
            <w:noWrap/>
            <w:vAlign w:val="bottom"/>
          </w:tcPr>
          <w:p w:rsidR="00D03533" w:rsidRPr="00207878" w:rsidRDefault="00D03533" w:rsidP="00DD3246">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MA</w:t>
            </w:r>
          </w:p>
        </w:tc>
        <w:tc>
          <w:tcPr>
            <w:tcW w:w="894" w:type="pct"/>
            <w:tcBorders>
              <w:top w:val="single" w:sz="8" w:space="0" w:color="auto"/>
              <w:left w:val="nil"/>
              <w:bottom w:val="single" w:sz="4" w:space="0" w:color="auto"/>
              <w:right w:val="single" w:sz="4" w:space="0" w:color="auto"/>
            </w:tcBorders>
            <w:shd w:val="clear" w:color="auto" w:fill="auto"/>
            <w:noWrap/>
            <w:vAlign w:val="bottom"/>
          </w:tcPr>
          <w:p w:rsidR="00D03533" w:rsidRPr="00207878" w:rsidRDefault="00D03533" w:rsidP="00DD3246">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MB</w:t>
            </w:r>
          </w:p>
        </w:tc>
        <w:tc>
          <w:tcPr>
            <w:tcW w:w="894" w:type="pct"/>
            <w:tcBorders>
              <w:top w:val="single" w:sz="8" w:space="0" w:color="auto"/>
              <w:left w:val="nil"/>
              <w:bottom w:val="single" w:sz="4" w:space="0" w:color="auto"/>
              <w:right w:val="single" w:sz="4" w:space="0" w:color="auto"/>
            </w:tcBorders>
            <w:shd w:val="clear" w:color="auto" w:fill="auto"/>
            <w:noWrap/>
            <w:vAlign w:val="bottom"/>
          </w:tcPr>
          <w:p w:rsidR="00D03533" w:rsidRPr="00207878" w:rsidRDefault="00D03533" w:rsidP="00DD3246">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MM</w:t>
            </w:r>
          </w:p>
        </w:tc>
        <w:tc>
          <w:tcPr>
            <w:tcW w:w="896" w:type="pct"/>
            <w:tcBorders>
              <w:top w:val="single" w:sz="8" w:space="0" w:color="auto"/>
              <w:left w:val="nil"/>
              <w:bottom w:val="single" w:sz="4" w:space="0" w:color="auto"/>
              <w:right w:val="single" w:sz="8" w:space="0" w:color="auto"/>
            </w:tcBorders>
            <w:shd w:val="clear" w:color="auto" w:fill="auto"/>
            <w:noWrap/>
            <w:vAlign w:val="bottom"/>
          </w:tcPr>
          <w:p w:rsidR="00D03533" w:rsidRPr="00207878" w:rsidRDefault="00D03533" w:rsidP="00DD3246">
            <w:pPr>
              <w:spacing w:after="0" w:line="240" w:lineRule="auto"/>
              <w:jc w:val="center"/>
              <w:rPr>
                <w:rFonts w:ascii="Calibri" w:eastAsia="Times New Roman" w:hAnsi="Calibri" w:cs="Times New Roman"/>
                <w:b/>
                <w:bCs/>
                <w:color w:val="000000"/>
              </w:rPr>
            </w:pPr>
            <w:r w:rsidRPr="00207878">
              <w:rPr>
                <w:rFonts w:ascii="Calibri" w:eastAsia="Times New Roman" w:hAnsi="Calibri" w:cs="Times New Roman"/>
                <w:b/>
                <w:bCs/>
                <w:color w:val="000000"/>
              </w:rPr>
              <w:t>MS</w:t>
            </w:r>
          </w:p>
        </w:tc>
      </w:tr>
      <w:tr w:rsidR="00BE2BD5" w:rsidRPr="006C51AC" w:rsidTr="00D03533">
        <w:trPr>
          <w:trHeight w:val="290"/>
        </w:trPr>
        <w:tc>
          <w:tcPr>
            <w:tcW w:w="1332"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SR (en €)</w:t>
            </w:r>
          </w:p>
        </w:tc>
        <w:tc>
          <w:tcPr>
            <w:tcW w:w="985" w:type="pct"/>
            <w:tcBorders>
              <w:top w:val="single" w:sz="8" w:space="0" w:color="auto"/>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9 400</w:t>
            </w:r>
            <w:r>
              <w:rPr>
                <w:rFonts w:ascii="Calibri" w:eastAsia="Times New Roman" w:hAnsi="Calibri" w:cs="Times New Roman"/>
                <w:color w:val="000000"/>
              </w:rPr>
              <w:t> </w:t>
            </w:r>
            <w:r w:rsidRPr="006C51AC">
              <w:rPr>
                <w:rFonts w:ascii="Calibri" w:eastAsia="Times New Roman" w:hAnsi="Calibri" w:cs="Times New Roman"/>
                <w:color w:val="000000"/>
              </w:rPr>
              <w:t>000</w:t>
            </w:r>
            <w:r>
              <w:rPr>
                <w:rFonts w:ascii="Calibri" w:eastAsia="Times New Roman" w:hAnsi="Calibri" w:cs="Times New Roman"/>
                <w:color w:val="000000"/>
              </w:rPr>
              <w:t xml:space="preserve"> *</w:t>
            </w:r>
          </w:p>
        </w:tc>
        <w:tc>
          <w:tcPr>
            <w:tcW w:w="894" w:type="pct"/>
            <w:tcBorders>
              <w:top w:val="single" w:sz="8" w:space="0" w:color="auto"/>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1 909 091</w:t>
            </w:r>
          </w:p>
        </w:tc>
        <w:tc>
          <w:tcPr>
            <w:tcW w:w="894" w:type="pct"/>
            <w:tcBorders>
              <w:top w:val="single" w:sz="8" w:space="0" w:color="auto"/>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614 286</w:t>
            </w:r>
          </w:p>
        </w:tc>
        <w:tc>
          <w:tcPr>
            <w:tcW w:w="896" w:type="pct"/>
            <w:tcBorders>
              <w:top w:val="single" w:sz="8" w:space="0" w:color="auto"/>
              <w:left w:val="nil"/>
              <w:bottom w:val="single" w:sz="4" w:space="0" w:color="auto"/>
              <w:right w:val="single" w:sz="8"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1 260 000</w:t>
            </w:r>
          </w:p>
        </w:tc>
      </w:tr>
      <w:tr w:rsidR="00BE2BD5" w:rsidRPr="006C51AC" w:rsidTr="00D03533">
        <w:trPr>
          <w:trHeight w:val="290"/>
        </w:trPr>
        <w:tc>
          <w:tcPr>
            <w:tcW w:w="1332" w:type="pct"/>
            <w:tcBorders>
              <w:top w:val="nil"/>
              <w:left w:val="single" w:sz="8" w:space="0" w:color="auto"/>
              <w:bottom w:val="single" w:sz="4" w:space="0" w:color="auto"/>
              <w:right w:val="single" w:sz="4" w:space="0" w:color="auto"/>
            </w:tcBorders>
            <w:shd w:val="clear" w:color="000000" w:fill="D9D9D9"/>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Marge de sécu</w:t>
            </w:r>
          </w:p>
        </w:tc>
        <w:tc>
          <w:tcPr>
            <w:tcW w:w="985"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-6 467</w:t>
            </w:r>
            <w:r>
              <w:rPr>
                <w:rFonts w:ascii="Calibri" w:eastAsia="Times New Roman" w:hAnsi="Calibri" w:cs="Times New Roman"/>
                <w:color w:val="000000"/>
              </w:rPr>
              <w:t> </w:t>
            </w:r>
            <w:r w:rsidRPr="006C51AC">
              <w:rPr>
                <w:rFonts w:ascii="Calibri" w:eastAsia="Times New Roman" w:hAnsi="Calibri" w:cs="Times New Roman"/>
                <w:color w:val="000000"/>
              </w:rPr>
              <w:t>200</w:t>
            </w:r>
            <w:r>
              <w:rPr>
                <w:rFonts w:ascii="Calibri" w:eastAsia="Times New Roman" w:hAnsi="Calibri" w:cs="Times New Roman"/>
                <w:color w:val="000000"/>
              </w:rPr>
              <w:t xml:space="preserve"> **</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4 642 909</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4 752 114</w:t>
            </w:r>
          </w:p>
        </w:tc>
        <w:tc>
          <w:tcPr>
            <w:tcW w:w="896" w:type="pct"/>
            <w:tcBorders>
              <w:top w:val="nil"/>
              <w:left w:val="nil"/>
              <w:bottom w:val="single" w:sz="4" w:space="0" w:color="auto"/>
              <w:right w:val="single" w:sz="8"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6 602 400</w:t>
            </w:r>
          </w:p>
        </w:tc>
      </w:tr>
      <w:tr w:rsidR="00BE2BD5" w:rsidRPr="006C51AC" w:rsidTr="00D03533">
        <w:trPr>
          <w:trHeight w:val="290"/>
        </w:trPr>
        <w:tc>
          <w:tcPr>
            <w:tcW w:w="1332" w:type="pct"/>
            <w:tcBorders>
              <w:top w:val="nil"/>
              <w:left w:val="single" w:sz="8" w:space="0" w:color="auto"/>
              <w:bottom w:val="single" w:sz="4" w:space="0" w:color="auto"/>
              <w:right w:val="single" w:sz="4" w:space="0" w:color="auto"/>
            </w:tcBorders>
            <w:shd w:val="clear" w:color="000000" w:fill="D9D9D9"/>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Indice de sécurité</w:t>
            </w:r>
          </w:p>
        </w:tc>
        <w:tc>
          <w:tcPr>
            <w:tcW w:w="985"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-220,5%</w:t>
            </w:r>
            <w:r>
              <w:rPr>
                <w:rFonts w:ascii="Calibri" w:eastAsia="Times New Roman" w:hAnsi="Calibri" w:cs="Times New Roman"/>
                <w:color w:val="000000"/>
              </w:rPr>
              <w:t xml:space="preserve"> ***</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70,9%</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88,6%</w:t>
            </w:r>
          </w:p>
        </w:tc>
        <w:tc>
          <w:tcPr>
            <w:tcW w:w="896" w:type="pct"/>
            <w:tcBorders>
              <w:top w:val="nil"/>
              <w:left w:val="nil"/>
              <w:bottom w:val="single" w:sz="4" w:space="0" w:color="auto"/>
              <w:right w:val="single" w:sz="8"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84,0%</w:t>
            </w:r>
          </w:p>
        </w:tc>
      </w:tr>
      <w:tr w:rsidR="00BE2BD5" w:rsidRPr="006C51AC" w:rsidTr="00D03533">
        <w:trPr>
          <w:trHeight w:val="290"/>
        </w:trPr>
        <w:tc>
          <w:tcPr>
            <w:tcW w:w="1332" w:type="pct"/>
            <w:tcBorders>
              <w:top w:val="nil"/>
              <w:left w:val="single" w:sz="8" w:space="0" w:color="auto"/>
              <w:bottom w:val="single" w:sz="4" w:space="0" w:color="auto"/>
              <w:right w:val="single" w:sz="4" w:space="0" w:color="auto"/>
            </w:tcBorders>
            <w:shd w:val="clear" w:color="000000" w:fill="D9D9D9"/>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Point mort (date)</w:t>
            </w:r>
          </w:p>
        </w:tc>
        <w:tc>
          <w:tcPr>
            <w:tcW w:w="985" w:type="pct"/>
            <w:tcBorders>
              <w:top w:val="nil"/>
              <w:left w:val="nil"/>
              <w:bottom w:val="single" w:sz="4" w:space="0" w:color="auto"/>
              <w:right w:val="single" w:sz="4" w:space="0" w:color="auto"/>
            </w:tcBorders>
            <w:shd w:val="clear" w:color="auto" w:fill="auto"/>
            <w:noWrap/>
            <w:vAlign w:val="center"/>
            <w:hideMark/>
          </w:tcPr>
          <w:p w:rsidR="00D03533" w:rsidRPr="006C51AC" w:rsidRDefault="00BE2BD5" w:rsidP="006C51A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Incohérent</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BE2BD5">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1</w:t>
            </w:r>
            <w:r w:rsidR="00BE2BD5">
              <w:rPr>
                <w:rFonts w:ascii="Calibri" w:eastAsia="Times New Roman" w:hAnsi="Calibri" w:cs="Times New Roman"/>
                <w:color w:val="000000"/>
              </w:rPr>
              <w:t>7</w:t>
            </w:r>
            <w:r w:rsidRPr="006C51AC">
              <w:rPr>
                <w:rFonts w:ascii="Calibri" w:eastAsia="Times New Roman" w:hAnsi="Calibri" w:cs="Times New Roman"/>
                <w:color w:val="000000"/>
              </w:rPr>
              <w:t>-avr</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12-févr</w:t>
            </w:r>
          </w:p>
        </w:tc>
        <w:tc>
          <w:tcPr>
            <w:tcW w:w="896" w:type="pct"/>
            <w:tcBorders>
              <w:top w:val="nil"/>
              <w:left w:val="nil"/>
              <w:bottom w:val="single" w:sz="4" w:space="0" w:color="auto"/>
              <w:right w:val="single" w:sz="8" w:space="0" w:color="auto"/>
            </w:tcBorders>
            <w:shd w:val="clear" w:color="auto" w:fill="auto"/>
            <w:noWrap/>
            <w:vAlign w:val="center"/>
            <w:hideMark/>
          </w:tcPr>
          <w:p w:rsidR="00D03533" w:rsidRPr="006C51AC" w:rsidRDefault="00BE2BD5" w:rsidP="006C51A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r w:rsidR="00D03533" w:rsidRPr="006C51AC">
              <w:rPr>
                <w:rFonts w:ascii="Calibri" w:eastAsia="Times New Roman" w:hAnsi="Calibri" w:cs="Times New Roman"/>
                <w:color w:val="000000"/>
              </w:rPr>
              <w:t>-févr</w:t>
            </w:r>
          </w:p>
        </w:tc>
      </w:tr>
      <w:tr w:rsidR="00BE2BD5" w:rsidRPr="006C51AC" w:rsidTr="00D03533">
        <w:trPr>
          <w:trHeight w:val="283"/>
        </w:trPr>
        <w:tc>
          <w:tcPr>
            <w:tcW w:w="1332" w:type="pct"/>
            <w:tcBorders>
              <w:top w:val="nil"/>
              <w:left w:val="single" w:sz="8" w:space="0" w:color="auto"/>
              <w:bottom w:val="single" w:sz="4" w:space="0" w:color="auto"/>
              <w:right w:val="single" w:sz="4" w:space="0" w:color="auto"/>
            </w:tcBorders>
            <w:shd w:val="clear" w:color="000000" w:fill="D9D9D9"/>
            <w:noWrap/>
            <w:vAlign w:val="center"/>
            <w:hideMark/>
          </w:tcPr>
          <w:p w:rsidR="00D03533" w:rsidRDefault="00D03533" w:rsidP="006C51AC">
            <w:pPr>
              <w:spacing w:after="0" w:line="240" w:lineRule="auto"/>
              <w:jc w:val="center"/>
              <w:rPr>
                <w:rFonts w:ascii="Calibri" w:eastAsia="Times New Roman" w:hAnsi="Calibri" w:cs="Times New Roman"/>
                <w:i/>
                <w:iCs/>
                <w:color w:val="000000"/>
                <w:sz w:val="18"/>
                <w:szCs w:val="18"/>
              </w:rPr>
            </w:pPr>
            <w:r w:rsidRPr="006C51AC">
              <w:rPr>
                <w:rFonts w:ascii="Calibri" w:eastAsia="Times New Roman" w:hAnsi="Calibri" w:cs="Times New Roman"/>
                <w:i/>
                <w:iCs/>
                <w:color w:val="000000"/>
                <w:sz w:val="18"/>
                <w:szCs w:val="18"/>
              </w:rPr>
              <w:t>Point mort en jour</w:t>
            </w:r>
          </w:p>
          <w:p w:rsidR="002B3B38" w:rsidRPr="006C51AC" w:rsidRDefault="002B3B38" w:rsidP="006C51AC">
            <w:pPr>
              <w:spacing w:after="0" w:line="240" w:lineRule="auto"/>
              <w:jc w:val="center"/>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SR / (CA /365)</w:t>
            </w:r>
          </w:p>
        </w:tc>
        <w:tc>
          <w:tcPr>
            <w:tcW w:w="985" w:type="pct"/>
            <w:tcBorders>
              <w:top w:val="nil"/>
              <w:left w:val="nil"/>
              <w:bottom w:val="single" w:sz="4" w:space="0" w:color="auto"/>
              <w:right w:val="single" w:sz="4" w:space="0" w:color="auto"/>
            </w:tcBorders>
            <w:shd w:val="clear" w:color="auto" w:fill="auto"/>
            <w:noWrap/>
            <w:vAlign w:val="center"/>
            <w:hideMark/>
          </w:tcPr>
          <w:p w:rsidR="00D03533" w:rsidRPr="006C51AC" w:rsidRDefault="00BE2BD5" w:rsidP="00BE2BD5">
            <w:pPr>
              <w:spacing w:after="0" w:line="240" w:lineRule="auto"/>
              <w:jc w:val="center"/>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1169,9</w:t>
            </w:r>
            <w:r w:rsidR="00D03533">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jours</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BE2BD5" w:rsidP="006C51AC">
            <w:pPr>
              <w:spacing w:after="0" w:line="240" w:lineRule="auto"/>
              <w:jc w:val="center"/>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106,4 jours</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BE2BD5">
            <w:pPr>
              <w:spacing w:after="0" w:line="240" w:lineRule="auto"/>
              <w:jc w:val="center"/>
              <w:rPr>
                <w:rFonts w:ascii="Calibri" w:eastAsia="Times New Roman" w:hAnsi="Calibri" w:cs="Times New Roman"/>
                <w:i/>
                <w:iCs/>
                <w:color w:val="000000"/>
                <w:sz w:val="18"/>
                <w:szCs w:val="18"/>
              </w:rPr>
            </w:pPr>
            <w:r w:rsidRPr="006C51AC">
              <w:rPr>
                <w:rFonts w:ascii="Calibri" w:eastAsia="Times New Roman" w:hAnsi="Calibri" w:cs="Times New Roman"/>
                <w:i/>
                <w:iCs/>
                <w:color w:val="000000"/>
                <w:sz w:val="18"/>
                <w:szCs w:val="18"/>
              </w:rPr>
              <w:t>41,</w:t>
            </w:r>
            <w:r w:rsidR="00BE2BD5">
              <w:rPr>
                <w:rFonts w:ascii="Calibri" w:eastAsia="Times New Roman" w:hAnsi="Calibri" w:cs="Times New Roman"/>
                <w:i/>
                <w:iCs/>
                <w:color w:val="000000"/>
                <w:sz w:val="18"/>
                <w:szCs w:val="18"/>
              </w:rPr>
              <w:t>8 jours</w:t>
            </w:r>
          </w:p>
        </w:tc>
        <w:tc>
          <w:tcPr>
            <w:tcW w:w="896" w:type="pct"/>
            <w:tcBorders>
              <w:top w:val="nil"/>
              <w:left w:val="nil"/>
              <w:bottom w:val="single" w:sz="4" w:space="0" w:color="auto"/>
              <w:right w:val="single" w:sz="8" w:space="0" w:color="auto"/>
            </w:tcBorders>
            <w:shd w:val="clear" w:color="auto" w:fill="auto"/>
            <w:noWrap/>
            <w:vAlign w:val="center"/>
            <w:hideMark/>
          </w:tcPr>
          <w:p w:rsidR="00D03533" w:rsidRPr="006C51AC" w:rsidRDefault="00BE2BD5" w:rsidP="006C51AC">
            <w:pPr>
              <w:spacing w:after="0" w:line="240" w:lineRule="auto"/>
              <w:jc w:val="center"/>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58,5 jours</w:t>
            </w:r>
          </w:p>
        </w:tc>
      </w:tr>
      <w:tr w:rsidR="00BE2BD5" w:rsidRPr="006C51AC" w:rsidTr="00D03533">
        <w:trPr>
          <w:trHeight w:val="300"/>
        </w:trPr>
        <w:tc>
          <w:tcPr>
            <w:tcW w:w="1332" w:type="pct"/>
            <w:tcBorders>
              <w:top w:val="nil"/>
              <w:left w:val="single" w:sz="8" w:space="0" w:color="auto"/>
              <w:bottom w:val="single" w:sz="4" w:space="0" w:color="auto"/>
              <w:right w:val="single" w:sz="4" w:space="0" w:color="auto"/>
            </w:tcBorders>
            <w:shd w:val="clear" w:color="000000" w:fill="D9D9D9"/>
            <w:noWrap/>
            <w:vAlign w:val="center"/>
            <w:hideMark/>
          </w:tcPr>
          <w:p w:rsidR="00D03533" w:rsidRPr="006C51AC" w:rsidRDefault="00D03533" w:rsidP="006C51AC">
            <w:pPr>
              <w:spacing w:after="0" w:line="240" w:lineRule="auto"/>
              <w:jc w:val="center"/>
              <w:rPr>
                <w:rFonts w:ascii="Calibri" w:eastAsia="Times New Roman" w:hAnsi="Calibri" w:cs="Times New Roman"/>
                <w:b/>
                <w:bCs/>
                <w:color w:val="000000"/>
                <w:sz w:val="20"/>
                <w:szCs w:val="20"/>
              </w:rPr>
            </w:pPr>
            <w:r w:rsidRPr="006C51AC">
              <w:rPr>
                <w:rFonts w:ascii="Calibri" w:eastAsia="Times New Roman" w:hAnsi="Calibri" w:cs="Times New Roman"/>
                <w:b/>
                <w:bCs/>
                <w:color w:val="000000"/>
                <w:sz w:val="20"/>
                <w:szCs w:val="20"/>
              </w:rPr>
              <w:t>Levier opérationnel</w:t>
            </w:r>
          </w:p>
        </w:tc>
        <w:tc>
          <w:tcPr>
            <w:tcW w:w="985"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-0,45348837</w:t>
            </w:r>
            <w:r>
              <w:rPr>
                <w:rFonts w:ascii="Calibri" w:eastAsia="Times New Roman" w:hAnsi="Calibri" w:cs="Times New Roman"/>
                <w:color w:val="000000"/>
              </w:rPr>
              <w:t>*****</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1,41118421</w:t>
            </w:r>
          </w:p>
        </w:tc>
        <w:tc>
          <w:tcPr>
            <w:tcW w:w="894" w:type="pct"/>
            <w:tcBorders>
              <w:top w:val="nil"/>
              <w:left w:val="nil"/>
              <w:bottom w:val="single" w:sz="4" w:space="0" w:color="auto"/>
              <w:right w:val="single" w:sz="4"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1,12926577</w:t>
            </w:r>
          </w:p>
        </w:tc>
        <w:tc>
          <w:tcPr>
            <w:tcW w:w="896" w:type="pct"/>
            <w:tcBorders>
              <w:top w:val="nil"/>
              <w:left w:val="nil"/>
              <w:bottom w:val="single" w:sz="4" w:space="0" w:color="auto"/>
              <w:right w:val="single" w:sz="8" w:space="0" w:color="auto"/>
            </w:tcBorders>
            <w:shd w:val="clear" w:color="auto" w:fill="auto"/>
            <w:noWrap/>
            <w:vAlign w:val="center"/>
            <w:hideMark/>
          </w:tcPr>
          <w:p w:rsidR="00D03533" w:rsidRPr="006C51AC" w:rsidRDefault="00D03533" w:rsidP="006C51AC">
            <w:pPr>
              <w:spacing w:after="0" w:line="240" w:lineRule="auto"/>
              <w:jc w:val="center"/>
              <w:rPr>
                <w:rFonts w:ascii="Calibri" w:eastAsia="Times New Roman" w:hAnsi="Calibri" w:cs="Times New Roman"/>
                <w:color w:val="000000"/>
              </w:rPr>
            </w:pPr>
            <w:r w:rsidRPr="006C51AC">
              <w:rPr>
                <w:rFonts w:ascii="Calibri" w:eastAsia="Times New Roman" w:hAnsi="Calibri" w:cs="Times New Roman"/>
                <w:color w:val="000000"/>
              </w:rPr>
              <w:t>1,19083969</w:t>
            </w:r>
          </w:p>
        </w:tc>
      </w:tr>
      <w:tr w:rsidR="00D03533" w:rsidRPr="006C51AC" w:rsidTr="006C51AC">
        <w:trPr>
          <w:trHeight w:val="537"/>
        </w:trPr>
        <w:tc>
          <w:tcPr>
            <w:tcW w:w="5000" w:type="pct"/>
            <w:gridSpan w:val="5"/>
            <w:tcBorders>
              <w:top w:val="single" w:sz="4" w:space="0" w:color="auto"/>
              <w:left w:val="single" w:sz="8" w:space="0" w:color="auto"/>
              <w:bottom w:val="single" w:sz="4" w:space="0" w:color="auto"/>
              <w:right w:val="single" w:sz="8" w:space="0" w:color="auto"/>
            </w:tcBorders>
            <w:shd w:val="clear" w:color="auto" w:fill="FFFFFF" w:themeFill="background1"/>
            <w:noWrap/>
            <w:vAlign w:val="bottom"/>
          </w:tcPr>
          <w:p w:rsidR="00D03533" w:rsidRDefault="00D03533"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200 000 / 0,213</w:t>
            </w:r>
          </w:p>
          <w:p w:rsidR="00D03533" w:rsidRDefault="00D03533"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9400 000 – 2 932 800</w:t>
            </w:r>
          </w:p>
          <w:p w:rsidR="00D03533" w:rsidRDefault="00D03533"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6 467 200 / 2 932 800</w:t>
            </w:r>
          </w:p>
          <w:p w:rsidR="00D03533" w:rsidRDefault="00BE2BD5"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9 400 000/ (2 932 800 / 365</w:t>
            </w:r>
            <w:r w:rsidR="00D03533">
              <w:rPr>
                <w:rFonts w:ascii="Calibri" w:eastAsia="Times New Roman" w:hAnsi="Calibri" w:cs="Times New Roman"/>
                <w:color w:val="000000"/>
              </w:rPr>
              <w:t>)</w:t>
            </w:r>
            <w:r>
              <w:rPr>
                <w:rFonts w:ascii="Calibri" w:eastAsia="Times New Roman" w:hAnsi="Calibri" w:cs="Times New Roman"/>
                <w:color w:val="000000"/>
              </w:rPr>
              <w:t xml:space="preserve">. </w:t>
            </w:r>
            <w:bookmarkStart w:id="0" w:name="_GoBack"/>
            <w:bookmarkEnd w:id="0"/>
          </w:p>
          <w:p w:rsidR="00D03533" w:rsidRPr="006C51AC" w:rsidRDefault="00D03533" w:rsidP="006C51AC">
            <w:pPr>
              <w:spacing w:after="0" w:line="240" w:lineRule="auto"/>
              <w:rPr>
                <w:rFonts w:ascii="Calibri" w:eastAsia="Times New Roman" w:hAnsi="Calibri" w:cs="Times New Roman"/>
                <w:color w:val="000000"/>
              </w:rPr>
            </w:pPr>
            <w:r>
              <w:rPr>
                <w:rFonts w:ascii="Calibri" w:eastAsia="Times New Roman" w:hAnsi="Calibri" w:cs="Times New Roman"/>
                <w:color w:val="000000"/>
              </w:rPr>
              <w:t>***** 62 400 / -137 600</w:t>
            </w:r>
          </w:p>
        </w:tc>
      </w:tr>
    </w:tbl>
    <w:p w:rsidR="006C51AC" w:rsidRPr="006C51AC" w:rsidRDefault="006C51AC" w:rsidP="007B63D7">
      <w:pPr>
        <w:spacing w:after="0" w:line="240" w:lineRule="auto"/>
        <w:jc w:val="both"/>
        <w:rPr>
          <w:rFonts w:cs="Times New Roman"/>
          <w:sz w:val="24"/>
          <w:szCs w:val="24"/>
        </w:rPr>
      </w:pPr>
    </w:p>
    <w:p w:rsidR="00D03533" w:rsidRDefault="00D03533" w:rsidP="007B63D7">
      <w:pPr>
        <w:spacing w:after="0" w:line="240" w:lineRule="auto"/>
        <w:jc w:val="both"/>
        <w:rPr>
          <w:rFonts w:cs="Times New Roman"/>
          <w:sz w:val="24"/>
          <w:szCs w:val="24"/>
        </w:rPr>
      </w:pPr>
      <w:r>
        <w:rPr>
          <w:rFonts w:cs="Times New Roman"/>
          <w:sz w:val="24"/>
          <w:szCs w:val="24"/>
        </w:rPr>
        <w:t>Le seuil de rentabilité (CF spé. / Tx MCV) correspond au CA (en €) qu’il est nécessaire de réaliser pour couvrir les coûts fixes spécifiques. Autrement dit, pour tous ces indicateurs, il ne s’agit pas de commenter le résultat d’exploitation, mais plutôt les contributions.</w:t>
      </w:r>
    </w:p>
    <w:p w:rsidR="00D03533" w:rsidRDefault="00D03533" w:rsidP="007B63D7">
      <w:pPr>
        <w:spacing w:after="0" w:line="240" w:lineRule="auto"/>
        <w:jc w:val="both"/>
        <w:rPr>
          <w:rFonts w:cs="Times New Roman"/>
          <w:sz w:val="24"/>
          <w:szCs w:val="24"/>
        </w:rPr>
      </w:pPr>
    </w:p>
    <w:p w:rsidR="00D03533" w:rsidRPr="006C51AC" w:rsidRDefault="00D03533" w:rsidP="007B63D7">
      <w:pPr>
        <w:spacing w:after="0" w:line="240" w:lineRule="auto"/>
        <w:jc w:val="both"/>
        <w:rPr>
          <w:rFonts w:cs="Times New Roman"/>
          <w:sz w:val="24"/>
          <w:szCs w:val="24"/>
        </w:rPr>
      </w:pPr>
      <w:r>
        <w:rPr>
          <w:rFonts w:cs="Times New Roman"/>
          <w:sz w:val="24"/>
          <w:szCs w:val="24"/>
        </w:rPr>
        <w:t xml:space="preserve">Pour la ligne MA, le seuil de rentabilité est très élevé. La marge et l’indice de sécurité (et le levier opérationnel) négatifs ne font pas de sens et ne seront donc pas commentés. Le point mort théorique se situe dans 3 ans (ce qui est absurde dans la mesure où nous analysons l’activité sur l’année. </w:t>
      </w:r>
    </w:p>
    <w:p w:rsidR="006C51AC" w:rsidRDefault="006C51AC" w:rsidP="007B63D7">
      <w:pPr>
        <w:spacing w:after="0" w:line="240" w:lineRule="auto"/>
        <w:jc w:val="both"/>
        <w:rPr>
          <w:rFonts w:cs="Times New Roman"/>
          <w:b/>
          <w:i/>
          <w:color w:val="BFBFBF" w:themeColor="background1" w:themeShade="BF"/>
          <w:sz w:val="24"/>
          <w:szCs w:val="24"/>
        </w:rPr>
      </w:pPr>
    </w:p>
    <w:p w:rsidR="00D03533" w:rsidRPr="00D03533" w:rsidRDefault="00D03533" w:rsidP="007B63D7">
      <w:pPr>
        <w:spacing w:after="0" w:line="240" w:lineRule="auto"/>
        <w:jc w:val="both"/>
        <w:rPr>
          <w:rFonts w:cs="Times New Roman"/>
          <w:sz w:val="24"/>
          <w:szCs w:val="24"/>
        </w:rPr>
      </w:pPr>
      <w:r w:rsidRPr="00D03533">
        <w:rPr>
          <w:rFonts w:cs="Times New Roman"/>
          <w:sz w:val="24"/>
          <w:szCs w:val="24"/>
        </w:rPr>
        <w:t xml:space="preserve">Pour les autres lignes, le risque d’exploitation est assez faible. En effet, les </w:t>
      </w:r>
      <w:r>
        <w:rPr>
          <w:rFonts w:cs="Times New Roman"/>
          <w:sz w:val="24"/>
          <w:szCs w:val="24"/>
        </w:rPr>
        <w:t xml:space="preserve">seuils de rentabilité sont bas (CA pour lesquels la contribution est égale à zéro). Ainsi, on peut perdre jusqu’à 70  % du CA soit </w:t>
      </w:r>
      <w:r w:rsidRPr="006C51AC">
        <w:rPr>
          <w:rFonts w:ascii="Calibri" w:eastAsia="Times New Roman" w:hAnsi="Calibri" w:cs="Times New Roman"/>
          <w:color w:val="000000"/>
        </w:rPr>
        <w:t>4 642</w:t>
      </w:r>
      <w:r>
        <w:rPr>
          <w:rFonts w:ascii="Calibri" w:eastAsia="Times New Roman" w:hAnsi="Calibri" w:cs="Times New Roman"/>
          <w:color w:val="000000"/>
        </w:rPr>
        <w:t> </w:t>
      </w:r>
      <w:r w:rsidRPr="006C51AC">
        <w:rPr>
          <w:rFonts w:ascii="Calibri" w:eastAsia="Times New Roman" w:hAnsi="Calibri" w:cs="Times New Roman"/>
          <w:color w:val="000000"/>
        </w:rPr>
        <w:t>909</w:t>
      </w:r>
      <w:r>
        <w:rPr>
          <w:rFonts w:ascii="Calibri" w:eastAsia="Times New Roman" w:hAnsi="Calibri" w:cs="Times New Roman"/>
          <w:color w:val="000000"/>
        </w:rPr>
        <w:t xml:space="preserve">  d’€</w:t>
      </w:r>
      <w:r>
        <w:rPr>
          <w:rFonts w:cs="Times New Roman"/>
          <w:sz w:val="24"/>
          <w:szCs w:val="24"/>
        </w:rPr>
        <w:t xml:space="preserve"> (pour MB) et plus de 80 % (pour MM et MS) avant d’avoir une contribution négative. Les points morts (date à laquelle les contributions sont positives) sont tôt dans l’année (entre avril et mars). Le levier opérationnel est bas signifiant que pour un € de variation de CA, la contribution variera de moins de 1,5 %.</w:t>
      </w:r>
    </w:p>
    <w:p w:rsidR="006C51AC" w:rsidRPr="00207878" w:rsidRDefault="006C51AC" w:rsidP="007B63D7">
      <w:pPr>
        <w:spacing w:after="0" w:line="240" w:lineRule="auto"/>
        <w:jc w:val="both"/>
        <w:rPr>
          <w:rFonts w:cs="Times New Roman"/>
          <w:b/>
          <w:i/>
          <w:color w:val="BFBFBF" w:themeColor="background1" w:themeShade="BF"/>
          <w:sz w:val="24"/>
          <w:szCs w:val="24"/>
        </w:rPr>
      </w:pPr>
    </w:p>
    <w:p w:rsidR="00951FDD" w:rsidRPr="00207878" w:rsidRDefault="00CF77F3" w:rsidP="00A36360">
      <w:pPr>
        <w:spacing w:after="0" w:line="240" w:lineRule="auto"/>
        <w:jc w:val="both"/>
        <w:rPr>
          <w:rFonts w:cs="Times New Roman"/>
          <w:b/>
          <w:i/>
          <w:color w:val="BFBFBF" w:themeColor="background1" w:themeShade="BF"/>
          <w:sz w:val="24"/>
          <w:szCs w:val="24"/>
        </w:rPr>
      </w:pPr>
      <w:r w:rsidRPr="00207878">
        <w:rPr>
          <w:rFonts w:cs="Times New Roman"/>
          <w:b/>
          <w:i/>
          <w:color w:val="BFBFBF" w:themeColor="background1" w:themeShade="BF"/>
          <w:sz w:val="24"/>
          <w:szCs w:val="24"/>
        </w:rPr>
        <w:t>3</w:t>
      </w:r>
      <w:r w:rsidR="00D545AD" w:rsidRPr="00207878">
        <w:rPr>
          <w:rFonts w:cs="Times New Roman"/>
          <w:b/>
          <w:i/>
          <w:color w:val="BFBFBF" w:themeColor="background1" w:themeShade="BF"/>
          <w:sz w:val="24"/>
          <w:szCs w:val="24"/>
        </w:rPr>
        <w:t xml:space="preserve">. </w:t>
      </w:r>
      <w:r w:rsidR="00F36607" w:rsidRPr="00207878">
        <w:rPr>
          <w:rFonts w:cs="Times New Roman"/>
          <w:b/>
          <w:i/>
          <w:color w:val="BFBFBF" w:themeColor="background1" w:themeShade="BF"/>
          <w:sz w:val="24"/>
          <w:szCs w:val="24"/>
        </w:rPr>
        <w:t>Étudier</w:t>
      </w:r>
      <w:r w:rsidR="00D545AD" w:rsidRPr="00207878">
        <w:rPr>
          <w:rFonts w:cs="Times New Roman"/>
          <w:b/>
          <w:i/>
          <w:color w:val="BFBFBF" w:themeColor="background1" w:themeShade="BF"/>
          <w:sz w:val="24"/>
          <w:szCs w:val="24"/>
        </w:rPr>
        <w:t xml:space="preserve"> l’éventualité d’une ex</w:t>
      </w:r>
      <w:r w:rsidR="00A36360" w:rsidRPr="00207878">
        <w:rPr>
          <w:rFonts w:cs="Times New Roman"/>
          <w:b/>
          <w:i/>
          <w:color w:val="BFBFBF" w:themeColor="background1" w:themeShade="BF"/>
          <w:sz w:val="24"/>
          <w:szCs w:val="24"/>
        </w:rPr>
        <w:t xml:space="preserve">ternalisation de la maintenance : </w:t>
      </w:r>
      <w:r w:rsidR="00D545AD" w:rsidRPr="00207878">
        <w:rPr>
          <w:rFonts w:cs="Times New Roman"/>
          <w:b/>
          <w:i/>
          <w:color w:val="BFBFBF" w:themeColor="background1" w:themeShade="BF"/>
          <w:sz w:val="24"/>
          <w:szCs w:val="24"/>
        </w:rPr>
        <w:t>Calculer le coût ac</w:t>
      </w:r>
      <w:r w:rsidR="00A36360" w:rsidRPr="00207878">
        <w:rPr>
          <w:rFonts w:cs="Times New Roman"/>
          <w:b/>
          <w:i/>
          <w:color w:val="BFBFBF" w:themeColor="background1" w:themeShade="BF"/>
          <w:sz w:val="24"/>
          <w:szCs w:val="24"/>
        </w:rPr>
        <w:t xml:space="preserve">tuel de la division Maintenance. </w:t>
      </w:r>
      <w:r w:rsidR="00D545AD" w:rsidRPr="00207878">
        <w:rPr>
          <w:rFonts w:cs="Times New Roman"/>
          <w:b/>
          <w:i/>
          <w:color w:val="BFBFBF" w:themeColor="background1" w:themeShade="BF"/>
          <w:sz w:val="24"/>
          <w:szCs w:val="24"/>
        </w:rPr>
        <w:t>L’externalisa</w:t>
      </w:r>
      <w:r w:rsidR="00A36360" w:rsidRPr="00207878">
        <w:rPr>
          <w:rFonts w:cs="Times New Roman"/>
          <w:b/>
          <w:i/>
          <w:color w:val="BFBFBF" w:themeColor="background1" w:themeShade="BF"/>
          <w:sz w:val="24"/>
          <w:szCs w:val="24"/>
        </w:rPr>
        <w:t>tion doit-elle être conseillée ?</w:t>
      </w:r>
    </w:p>
    <w:p w:rsidR="00A36360" w:rsidRDefault="00A36360" w:rsidP="00A36360">
      <w:pPr>
        <w:spacing w:after="0" w:line="240" w:lineRule="auto"/>
        <w:jc w:val="both"/>
        <w:rPr>
          <w:rFonts w:cs="Times New Roman"/>
          <w:b/>
          <w:i/>
          <w:color w:val="BFBFBF" w:themeColor="background1" w:themeShade="BF"/>
          <w:sz w:val="24"/>
          <w:szCs w:val="24"/>
        </w:rPr>
      </w:pPr>
    </w:p>
    <w:p w:rsidR="009B67B2" w:rsidRDefault="000F0575" w:rsidP="00A36360">
      <w:pPr>
        <w:spacing w:after="0" w:line="240" w:lineRule="auto"/>
        <w:jc w:val="both"/>
        <w:rPr>
          <w:rFonts w:cs="Times New Roman"/>
          <w:sz w:val="24"/>
          <w:szCs w:val="24"/>
        </w:rPr>
      </w:pPr>
      <w:r w:rsidRPr="001118F6">
        <w:rPr>
          <w:rFonts w:cs="Times New Roman"/>
          <w:b/>
          <w:sz w:val="24"/>
          <w:szCs w:val="24"/>
        </w:rPr>
        <w:t xml:space="preserve">Coût </w:t>
      </w:r>
      <w:r w:rsidR="007F5212" w:rsidRPr="001118F6">
        <w:rPr>
          <w:rFonts w:cs="Times New Roman"/>
          <w:b/>
          <w:sz w:val="24"/>
          <w:szCs w:val="24"/>
        </w:rPr>
        <w:t xml:space="preserve">annuel </w:t>
      </w:r>
      <w:r w:rsidRPr="001118F6">
        <w:rPr>
          <w:rFonts w:cs="Times New Roman"/>
          <w:b/>
          <w:sz w:val="24"/>
          <w:szCs w:val="24"/>
        </w:rPr>
        <w:t>actuel</w:t>
      </w:r>
      <w:r>
        <w:rPr>
          <w:rFonts w:cs="Times New Roman"/>
          <w:sz w:val="24"/>
          <w:szCs w:val="24"/>
        </w:rPr>
        <w:t xml:space="preserve"> : </w:t>
      </w:r>
      <w:r w:rsidR="007F5212">
        <w:rPr>
          <w:rFonts w:cs="Times New Roman"/>
          <w:sz w:val="24"/>
          <w:szCs w:val="24"/>
        </w:rPr>
        <w:t>235 700</w:t>
      </w:r>
    </w:p>
    <w:p w:rsidR="000F0575" w:rsidRDefault="001118F6" w:rsidP="00A36360">
      <w:pPr>
        <w:spacing w:after="0" w:line="240" w:lineRule="auto"/>
        <w:jc w:val="both"/>
        <w:rPr>
          <w:rFonts w:cs="Times New Roman"/>
          <w:sz w:val="24"/>
          <w:szCs w:val="24"/>
        </w:rPr>
      </w:pPr>
      <w:r>
        <w:rPr>
          <w:rFonts w:cs="Times New Roman"/>
          <w:sz w:val="24"/>
          <w:szCs w:val="24"/>
        </w:rPr>
        <w:t>Révisions</w:t>
      </w:r>
      <w:r w:rsidR="007F5212">
        <w:rPr>
          <w:rFonts w:cs="Times New Roman"/>
          <w:sz w:val="24"/>
          <w:szCs w:val="24"/>
        </w:rPr>
        <w:t xml:space="preserve"> [(</w:t>
      </w:r>
      <w:r w:rsidR="007F5212">
        <w:rPr>
          <w:rFonts w:ascii="Calibri" w:eastAsia="Times New Roman" w:hAnsi="Calibri" w:cs="Times New Roman"/>
          <w:color w:val="000000"/>
        </w:rPr>
        <w:t xml:space="preserve">4 * 6 * 52 * (0,7 + 1,5 + 0,9 + 1,7) + 3000] / 100 * 1000 </w:t>
      </w:r>
      <w:r>
        <w:rPr>
          <w:rFonts w:ascii="Calibri" w:eastAsia="Times New Roman" w:hAnsi="Calibri" w:cs="Times New Roman"/>
          <w:color w:val="000000"/>
        </w:rPr>
        <w:tab/>
      </w:r>
      <w:r>
        <w:rPr>
          <w:rFonts w:ascii="Calibri" w:eastAsia="Times New Roman" w:hAnsi="Calibri" w:cs="Times New Roman"/>
          <w:color w:val="000000"/>
        </w:rPr>
        <w:tab/>
      </w:r>
      <w:r w:rsidR="007F5212">
        <w:rPr>
          <w:rFonts w:ascii="Calibri" w:eastAsia="Times New Roman" w:hAnsi="Calibri" w:cs="Times New Roman"/>
          <w:color w:val="000000"/>
        </w:rPr>
        <w:t>= 89 900</w:t>
      </w:r>
    </w:p>
    <w:p w:rsidR="007F5212" w:rsidRDefault="007F5212" w:rsidP="00A36360">
      <w:pPr>
        <w:spacing w:after="0" w:line="240" w:lineRule="auto"/>
        <w:jc w:val="both"/>
        <w:rPr>
          <w:rFonts w:cs="Times New Roman"/>
          <w:sz w:val="24"/>
          <w:szCs w:val="24"/>
        </w:rPr>
      </w:pPr>
      <w:r>
        <w:rPr>
          <w:rFonts w:cs="Times New Roman"/>
          <w:sz w:val="24"/>
          <w:szCs w:val="24"/>
        </w:rPr>
        <w:t xml:space="preserve">+ </w:t>
      </w:r>
      <w:r w:rsidR="001118F6">
        <w:rPr>
          <w:rFonts w:cs="Times New Roman"/>
          <w:sz w:val="24"/>
          <w:szCs w:val="24"/>
        </w:rPr>
        <w:t>Contrôle</w:t>
      </w:r>
      <w:r>
        <w:rPr>
          <w:rFonts w:cs="Times New Roman"/>
          <w:sz w:val="24"/>
          <w:szCs w:val="24"/>
        </w:rPr>
        <w:t xml:space="preserve"> de sécurité </w:t>
      </w:r>
      <w:r>
        <w:rPr>
          <w:rFonts w:cs="Times New Roman"/>
          <w:sz w:val="24"/>
          <w:szCs w:val="24"/>
        </w:rPr>
        <w:tab/>
        <w:t>: 6 avions * 4 (révisions par an) * 450</w:t>
      </w:r>
      <w:r w:rsidR="001118F6">
        <w:rPr>
          <w:rFonts w:cs="Times New Roman"/>
          <w:sz w:val="24"/>
          <w:szCs w:val="24"/>
        </w:rPr>
        <w:tab/>
      </w:r>
      <w:r>
        <w:rPr>
          <w:rFonts w:cs="Times New Roman"/>
          <w:sz w:val="24"/>
          <w:szCs w:val="24"/>
        </w:rPr>
        <w:t xml:space="preserve"> = 10 800</w:t>
      </w:r>
    </w:p>
    <w:p w:rsidR="007F5212" w:rsidRDefault="007F5212" w:rsidP="00A36360">
      <w:pPr>
        <w:spacing w:after="0" w:line="240" w:lineRule="auto"/>
        <w:jc w:val="both"/>
        <w:rPr>
          <w:rFonts w:cs="Times New Roman"/>
          <w:sz w:val="24"/>
          <w:szCs w:val="24"/>
        </w:rPr>
      </w:pPr>
      <w:r>
        <w:rPr>
          <w:rFonts w:cs="Times New Roman"/>
          <w:sz w:val="24"/>
          <w:szCs w:val="24"/>
        </w:rPr>
        <w:t xml:space="preserve">+ Salaires </w:t>
      </w:r>
      <w:r>
        <w:rPr>
          <w:rFonts w:cs="Times New Roman"/>
          <w:sz w:val="24"/>
          <w:szCs w:val="24"/>
        </w:rPr>
        <w:tab/>
      </w:r>
      <w:r>
        <w:rPr>
          <w:rFonts w:cs="Times New Roman"/>
          <w:sz w:val="24"/>
          <w:szCs w:val="24"/>
        </w:rPr>
        <w:tab/>
      </w:r>
      <w:r>
        <w:rPr>
          <w:rFonts w:cs="Times New Roman"/>
          <w:sz w:val="24"/>
          <w:szCs w:val="24"/>
        </w:rPr>
        <w:tab/>
        <w:t>= 20 000 * 3 + 45 000 + 30</w:t>
      </w:r>
      <w:r w:rsidR="001118F6">
        <w:rPr>
          <w:rFonts w:cs="Times New Roman"/>
          <w:sz w:val="24"/>
          <w:szCs w:val="24"/>
        </w:rPr>
        <w:t> </w:t>
      </w:r>
      <w:r>
        <w:rPr>
          <w:rFonts w:cs="Times New Roman"/>
          <w:sz w:val="24"/>
          <w:szCs w:val="24"/>
        </w:rPr>
        <w:t>000</w:t>
      </w:r>
      <w:r w:rsidR="001118F6">
        <w:rPr>
          <w:rFonts w:cs="Times New Roman"/>
          <w:sz w:val="24"/>
          <w:szCs w:val="24"/>
        </w:rPr>
        <w:tab/>
      </w:r>
      <w:r w:rsidR="001118F6">
        <w:rPr>
          <w:rFonts w:cs="Times New Roman"/>
          <w:sz w:val="24"/>
          <w:szCs w:val="24"/>
        </w:rPr>
        <w:tab/>
        <w:t>= 135 000</w:t>
      </w:r>
    </w:p>
    <w:p w:rsidR="000F0575" w:rsidRDefault="000F0575" w:rsidP="00A36360">
      <w:pPr>
        <w:spacing w:after="0" w:line="240" w:lineRule="auto"/>
        <w:jc w:val="both"/>
        <w:rPr>
          <w:rFonts w:cs="Times New Roman"/>
          <w:sz w:val="24"/>
          <w:szCs w:val="24"/>
        </w:rPr>
      </w:pPr>
    </w:p>
    <w:p w:rsidR="000F0575" w:rsidRDefault="000F0575" w:rsidP="00A36360">
      <w:pPr>
        <w:spacing w:after="0" w:line="240" w:lineRule="auto"/>
        <w:jc w:val="both"/>
        <w:rPr>
          <w:rFonts w:cs="Times New Roman"/>
          <w:sz w:val="24"/>
          <w:szCs w:val="24"/>
        </w:rPr>
      </w:pPr>
      <w:r>
        <w:rPr>
          <w:rFonts w:cs="Times New Roman"/>
          <w:sz w:val="24"/>
          <w:szCs w:val="24"/>
        </w:rPr>
        <w:t>Coût dans trois ans (après la retraite de l’ingénieur chef)</w:t>
      </w:r>
      <w:r w:rsidR="007F5212">
        <w:rPr>
          <w:rFonts w:cs="Times New Roman"/>
          <w:sz w:val="24"/>
          <w:szCs w:val="24"/>
        </w:rPr>
        <w:t> :</w:t>
      </w:r>
      <w:r w:rsidR="00F45D66">
        <w:rPr>
          <w:rFonts w:cs="Times New Roman"/>
          <w:sz w:val="24"/>
          <w:szCs w:val="24"/>
        </w:rPr>
        <w:t xml:space="preserve"> 190</w:t>
      </w:r>
      <w:r w:rsidR="007F5212">
        <w:rPr>
          <w:rFonts w:cs="Times New Roman"/>
          <w:sz w:val="24"/>
          <w:szCs w:val="24"/>
        </w:rPr>
        <w:t xml:space="preserve"> 700</w:t>
      </w:r>
    </w:p>
    <w:p w:rsidR="000F0575" w:rsidRDefault="000F0575" w:rsidP="00A36360">
      <w:pPr>
        <w:spacing w:after="0" w:line="240" w:lineRule="auto"/>
        <w:jc w:val="both"/>
        <w:rPr>
          <w:rFonts w:cs="Times New Roman"/>
          <w:sz w:val="24"/>
          <w:szCs w:val="24"/>
        </w:rPr>
      </w:pPr>
    </w:p>
    <w:p w:rsidR="000F0575" w:rsidRDefault="000F0575" w:rsidP="00A36360">
      <w:pPr>
        <w:spacing w:after="0" w:line="240" w:lineRule="auto"/>
        <w:jc w:val="both"/>
        <w:rPr>
          <w:rFonts w:cs="Times New Roman"/>
          <w:sz w:val="24"/>
          <w:szCs w:val="24"/>
        </w:rPr>
      </w:pPr>
      <w:r>
        <w:rPr>
          <w:rFonts w:cs="Times New Roman"/>
          <w:sz w:val="24"/>
          <w:szCs w:val="24"/>
        </w:rPr>
        <w:t>Coût de l’externalisation</w:t>
      </w:r>
      <w:r w:rsidR="007F5212">
        <w:rPr>
          <w:rFonts w:cs="Times New Roman"/>
          <w:sz w:val="24"/>
          <w:szCs w:val="24"/>
        </w:rPr>
        <w:t> :</w:t>
      </w:r>
      <w:r w:rsidR="00F45D66">
        <w:rPr>
          <w:rFonts w:cs="Times New Roman"/>
          <w:sz w:val="24"/>
          <w:szCs w:val="24"/>
        </w:rPr>
        <w:t xml:space="preserve"> 195</w:t>
      </w:r>
      <w:r w:rsidR="007F5212">
        <w:rPr>
          <w:rFonts w:cs="Times New Roman"/>
          <w:sz w:val="24"/>
          <w:szCs w:val="24"/>
        </w:rPr>
        <w:t> 000</w:t>
      </w:r>
    </w:p>
    <w:p w:rsidR="007F5212" w:rsidRDefault="007F5212" w:rsidP="00A36360">
      <w:pPr>
        <w:spacing w:after="0" w:line="240" w:lineRule="auto"/>
        <w:jc w:val="both"/>
        <w:rPr>
          <w:rFonts w:cs="Times New Roman"/>
          <w:sz w:val="24"/>
          <w:szCs w:val="24"/>
        </w:rPr>
      </w:pPr>
    </w:p>
    <w:p w:rsidR="007F5212" w:rsidRPr="000F0575" w:rsidRDefault="007F5212" w:rsidP="00A36360">
      <w:pPr>
        <w:spacing w:after="0" w:line="240" w:lineRule="auto"/>
        <w:jc w:val="both"/>
        <w:rPr>
          <w:rFonts w:cs="Times New Roman"/>
          <w:sz w:val="24"/>
          <w:szCs w:val="24"/>
        </w:rPr>
      </w:pPr>
      <w:r>
        <w:rPr>
          <w:rFonts w:cs="Times New Roman"/>
          <w:sz w:val="24"/>
          <w:szCs w:val="24"/>
        </w:rPr>
        <w:t>Sur les trois premières années l’externalisation devrait permettre de réduire les coûts. En revanche, au bout des trois ans, les coûts sont comparables</w:t>
      </w:r>
      <w:r w:rsidR="00F45D66">
        <w:rPr>
          <w:rFonts w:cs="Times New Roman"/>
          <w:sz w:val="24"/>
          <w:szCs w:val="24"/>
        </w:rPr>
        <w:t xml:space="preserve"> (l’externalisation est légèrement plus chère)</w:t>
      </w:r>
      <w:r>
        <w:rPr>
          <w:rFonts w:cs="Times New Roman"/>
          <w:sz w:val="24"/>
          <w:szCs w:val="24"/>
        </w:rPr>
        <w:t xml:space="preserve">. La décision d’externaliser dépend de la volonté de l’équipe dirigeante de (i)  conserver la maîtrise de la maintenance quitte à payer plus chère sur trois ans </w:t>
      </w:r>
      <w:r w:rsidR="00F45D66">
        <w:rPr>
          <w:rFonts w:cs="Times New Roman"/>
          <w:sz w:val="24"/>
          <w:szCs w:val="24"/>
        </w:rPr>
        <w:t xml:space="preserve">(le coût de la maintenance étant comparable au bout des trois ans) </w:t>
      </w:r>
      <w:r>
        <w:rPr>
          <w:rFonts w:cs="Times New Roman"/>
          <w:sz w:val="24"/>
          <w:szCs w:val="24"/>
        </w:rPr>
        <w:t>ou (ii) diminuer les coûts sur trois ans (</w:t>
      </w:r>
      <w:r w:rsidR="00F45D66">
        <w:rPr>
          <w:rFonts w:cs="Times New Roman"/>
          <w:sz w:val="24"/>
          <w:szCs w:val="24"/>
        </w:rPr>
        <w:t>économie</w:t>
      </w:r>
      <w:r>
        <w:rPr>
          <w:rFonts w:cs="Times New Roman"/>
          <w:sz w:val="24"/>
          <w:szCs w:val="24"/>
        </w:rPr>
        <w:t xml:space="preserve"> </w:t>
      </w:r>
      <w:r w:rsidR="00F45D66">
        <w:rPr>
          <w:rFonts w:cs="Times New Roman"/>
          <w:sz w:val="24"/>
          <w:szCs w:val="24"/>
        </w:rPr>
        <w:t>globale</w:t>
      </w:r>
      <w:r>
        <w:rPr>
          <w:rFonts w:cs="Times New Roman"/>
          <w:sz w:val="24"/>
          <w:szCs w:val="24"/>
        </w:rPr>
        <w:t xml:space="preserve"> de </w:t>
      </w:r>
      <w:r w:rsidR="00F45D66">
        <w:rPr>
          <w:rFonts w:cs="Times New Roman"/>
          <w:sz w:val="24"/>
          <w:szCs w:val="24"/>
        </w:rPr>
        <w:t xml:space="preserve">120 000 € sur trois ans) et externaliser l’activité. </w:t>
      </w:r>
    </w:p>
    <w:p w:rsidR="009B67B2" w:rsidRPr="00207878" w:rsidRDefault="009B67B2" w:rsidP="00A36360">
      <w:pPr>
        <w:spacing w:after="0" w:line="240" w:lineRule="auto"/>
        <w:jc w:val="both"/>
        <w:rPr>
          <w:rFonts w:cs="Times New Roman"/>
          <w:b/>
          <w:i/>
          <w:color w:val="BFBFBF" w:themeColor="background1" w:themeShade="BF"/>
          <w:sz w:val="24"/>
          <w:szCs w:val="24"/>
        </w:rPr>
      </w:pPr>
    </w:p>
    <w:p w:rsidR="00D545AD" w:rsidRPr="00207878" w:rsidRDefault="00D545AD" w:rsidP="00D545AD">
      <w:pPr>
        <w:tabs>
          <w:tab w:val="left" w:pos="567"/>
        </w:tabs>
        <w:spacing w:after="0" w:line="240" w:lineRule="auto"/>
        <w:jc w:val="both"/>
        <w:rPr>
          <w:rFonts w:cs="Times New Roman"/>
          <w:color w:val="BFBFBF" w:themeColor="background1" w:themeShade="BF"/>
          <w:sz w:val="24"/>
          <w:szCs w:val="24"/>
          <w:u w:val="single"/>
        </w:rPr>
      </w:pPr>
      <w:r w:rsidRPr="00207878">
        <w:rPr>
          <w:rFonts w:cs="Times New Roman"/>
          <w:color w:val="BFBFBF" w:themeColor="background1" w:themeShade="BF"/>
          <w:sz w:val="24"/>
          <w:szCs w:val="24"/>
          <w:u w:val="single"/>
        </w:rPr>
        <w:t>Annexe 1 - Division Passagers</w:t>
      </w:r>
    </w:p>
    <w:p w:rsidR="00780528" w:rsidRPr="00207878" w:rsidRDefault="00D545AD" w:rsidP="00D545AD">
      <w:pPr>
        <w:tabs>
          <w:tab w:val="left" w:pos="567"/>
        </w:tabs>
        <w:spacing w:after="0" w:line="240" w:lineRule="auto"/>
        <w:jc w:val="both"/>
        <w:rPr>
          <w:rFonts w:cs="Times New Roman"/>
          <w:color w:val="BFBFBF" w:themeColor="background1" w:themeShade="BF"/>
          <w:sz w:val="24"/>
          <w:szCs w:val="24"/>
        </w:rPr>
      </w:pPr>
      <w:r w:rsidRPr="00207878">
        <w:rPr>
          <w:rFonts w:cs="Times New Roman"/>
          <w:color w:val="BFBFBF" w:themeColor="background1" w:themeShade="BF"/>
          <w:sz w:val="24"/>
          <w:szCs w:val="24"/>
        </w:rPr>
        <w:t>La division exploite une flotte de quatre avions de ligne, basée à l’aéroport de Montpellier. Chacun des avions est affecté à une ligne différente : Montpellier-Ajaccio (MA), Montpellier-Brest (MB), Montpellier-Milan (MM) et Montpellier-</w:t>
      </w:r>
      <w:r w:rsidR="00780528" w:rsidRPr="00207878">
        <w:rPr>
          <w:rFonts w:cs="Times New Roman"/>
          <w:color w:val="BFBFBF" w:themeColor="background1" w:themeShade="BF"/>
          <w:sz w:val="24"/>
          <w:szCs w:val="24"/>
        </w:rPr>
        <w:t>Séville (MS). Les avions effectuent deux trajets aller-retour par jour, six jours par semaine, 52 semaines par an.</w:t>
      </w:r>
      <w:r w:rsidR="002B5881" w:rsidRPr="00207878">
        <w:rPr>
          <w:rFonts w:cs="Times New Roman"/>
          <w:color w:val="BFBFBF" w:themeColor="background1" w:themeShade="BF"/>
          <w:sz w:val="24"/>
          <w:szCs w:val="24"/>
        </w:rPr>
        <w:t xml:space="preserve"> </w:t>
      </w:r>
      <w:r w:rsidR="00780528" w:rsidRPr="00207878">
        <w:rPr>
          <w:rFonts w:cs="Times New Roman"/>
          <w:color w:val="BFBFBF" w:themeColor="background1" w:themeShade="BF"/>
          <w:sz w:val="24"/>
          <w:szCs w:val="24"/>
        </w:rPr>
        <w:t xml:space="preserve">Les prévisions d’exploitation pour l’année N sont les suivantes : </w:t>
      </w:r>
    </w:p>
    <w:p w:rsidR="00780528" w:rsidRPr="00207878" w:rsidRDefault="00780528" w:rsidP="00D545AD">
      <w:pPr>
        <w:tabs>
          <w:tab w:val="left" w:pos="567"/>
        </w:tabs>
        <w:spacing w:after="0" w:line="240" w:lineRule="auto"/>
        <w:jc w:val="both"/>
        <w:rPr>
          <w:rFonts w:cs="Times New Roman"/>
          <w:color w:val="BFBFBF" w:themeColor="background1" w:themeShade="BF"/>
          <w:sz w:val="24"/>
          <w:szCs w:val="24"/>
        </w:rPr>
      </w:pPr>
    </w:p>
    <w:tbl>
      <w:tblPr>
        <w:tblStyle w:val="Grilledutableau"/>
        <w:tblW w:w="0" w:type="auto"/>
        <w:tblLook w:val="04A0" w:firstRow="1" w:lastRow="0" w:firstColumn="1" w:lastColumn="0" w:noHBand="0" w:noVBand="1"/>
      </w:tblPr>
      <w:tblGrid>
        <w:gridCol w:w="3227"/>
        <w:gridCol w:w="1417"/>
        <w:gridCol w:w="1560"/>
        <w:gridCol w:w="1559"/>
        <w:gridCol w:w="1449"/>
      </w:tblGrid>
      <w:tr w:rsidR="00207878" w:rsidRPr="00207878" w:rsidTr="00663A76">
        <w:tc>
          <w:tcPr>
            <w:tcW w:w="3227" w:type="dxa"/>
            <w:vAlign w:val="center"/>
          </w:tcPr>
          <w:p w:rsidR="00780528" w:rsidRPr="00207878" w:rsidRDefault="00780528" w:rsidP="00780528">
            <w:pPr>
              <w:tabs>
                <w:tab w:val="left" w:pos="567"/>
              </w:tabs>
              <w:rPr>
                <w:rFonts w:cs="Times New Roman"/>
                <w:b/>
                <w:color w:val="BFBFBF" w:themeColor="background1" w:themeShade="BF"/>
                <w:sz w:val="24"/>
                <w:szCs w:val="24"/>
              </w:rPr>
            </w:pPr>
            <w:r w:rsidRPr="00207878">
              <w:rPr>
                <w:rFonts w:cs="Times New Roman"/>
                <w:b/>
                <w:color w:val="BFBFBF" w:themeColor="background1" w:themeShade="BF"/>
                <w:sz w:val="24"/>
                <w:szCs w:val="24"/>
              </w:rPr>
              <w:t>Ligne</w:t>
            </w:r>
          </w:p>
        </w:tc>
        <w:tc>
          <w:tcPr>
            <w:tcW w:w="1417" w:type="dxa"/>
            <w:vAlign w:val="center"/>
          </w:tcPr>
          <w:p w:rsidR="00780528" w:rsidRPr="00207878" w:rsidRDefault="00780528" w:rsidP="00780528">
            <w:pPr>
              <w:tabs>
                <w:tab w:val="left" w:pos="567"/>
              </w:tabs>
              <w:jc w:val="center"/>
              <w:rPr>
                <w:rFonts w:cs="Times New Roman"/>
                <w:b/>
                <w:color w:val="BFBFBF" w:themeColor="background1" w:themeShade="BF"/>
                <w:sz w:val="24"/>
                <w:szCs w:val="24"/>
              </w:rPr>
            </w:pPr>
            <w:r w:rsidRPr="00207878">
              <w:rPr>
                <w:rFonts w:cs="Times New Roman"/>
                <w:b/>
                <w:color w:val="BFBFBF" w:themeColor="background1" w:themeShade="BF"/>
                <w:sz w:val="24"/>
                <w:szCs w:val="24"/>
              </w:rPr>
              <w:t>MA</w:t>
            </w:r>
          </w:p>
        </w:tc>
        <w:tc>
          <w:tcPr>
            <w:tcW w:w="1560" w:type="dxa"/>
            <w:vAlign w:val="center"/>
          </w:tcPr>
          <w:p w:rsidR="00780528" w:rsidRPr="00207878" w:rsidRDefault="00780528" w:rsidP="00780528">
            <w:pPr>
              <w:tabs>
                <w:tab w:val="left" w:pos="567"/>
              </w:tabs>
              <w:jc w:val="center"/>
              <w:rPr>
                <w:rFonts w:cs="Times New Roman"/>
                <w:b/>
                <w:color w:val="BFBFBF" w:themeColor="background1" w:themeShade="BF"/>
                <w:sz w:val="24"/>
                <w:szCs w:val="24"/>
              </w:rPr>
            </w:pPr>
            <w:r w:rsidRPr="00207878">
              <w:rPr>
                <w:rFonts w:cs="Times New Roman"/>
                <w:b/>
                <w:color w:val="BFBFBF" w:themeColor="background1" w:themeShade="BF"/>
                <w:sz w:val="24"/>
                <w:szCs w:val="24"/>
              </w:rPr>
              <w:t>MB</w:t>
            </w:r>
          </w:p>
        </w:tc>
        <w:tc>
          <w:tcPr>
            <w:tcW w:w="1559" w:type="dxa"/>
            <w:vAlign w:val="center"/>
          </w:tcPr>
          <w:p w:rsidR="00780528" w:rsidRPr="00207878" w:rsidRDefault="00780528" w:rsidP="00780528">
            <w:pPr>
              <w:tabs>
                <w:tab w:val="left" w:pos="567"/>
              </w:tabs>
              <w:jc w:val="center"/>
              <w:rPr>
                <w:rFonts w:cs="Times New Roman"/>
                <w:b/>
                <w:color w:val="BFBFBF" w:themeColor="background1" w:themeShade="BF"/>
                <w:sz w:val="24"/>
                <w:szCs w:val="24"/>
              </w:rPr>
            </w:pPr>
            <w:r w:rsidRPr="00207878">
              <w:rPr>
                <w:rFonts w:cs="Times New Roman"/>
                <w:b/>
                <w:color w:val="BFBFBF" w:themeColor="background1" w:themeShade="BF"/>
                <w:sz w:val="24"/>
                <w:szCs w:val="24"/>
              </w:rPr>
              <w:t>MM</w:t>
            </w:r>
          </w:p>
        </w:tc>
        <w:tc>
          <w:tcPr>
            <w:tcW w:w="1449" w:type="dxa"/>
            <w:vAlign w:val="center"/>
          </w:tcPr>
          <w:p w:rsidR="00780528" w:rsidRPr="00207878" w:rsidRDefault="00780528" w:rsidP="00780528">
            <w:pPr>
              <w:tabs>
                <w:tab w:val="left" w:pos="567"/>
              </w:tabs>
              <w:jc w:val="center"/>
              <w:rPr>
                <w:rFonts w:cs="Times New Roman"/>
                <w:b/>
                <w:color w:val="BFBFBF" w:themeColor="background1" w:themeShade="BF"/>
                <w:sz w:val="24"/>
                <w:szCs w:val="24"/>
              </w:rPr>
            </w:pPr>
            <w:r w:rsidRPr="00207878">
              <w:rPr>
                <w:rFonts w:cs="Times New Roman"/>
                <w:b/>
                <w:color w:val="BFBFBF" w:themeColor="background1" w:themeShade="BF"/>
                <w:sz w:val="24"/>
                <w:szCs w:val="24"/>
              </w:rPr>
              <w:t>MS</w:t>
            </w:r>
          </w:p>
        </w:tc>
      </w:tr>
      <w:tr w:rsidR="00207878" w:rsidRPr="00207878" w:rsidTr="00663A76">
        <w:tc>
          <w:tcPr>
            <w:tcW w:w="3227" w:type="dxa"/>
          </w:tcPr>
          <w:p w:rsidR="00780528" w:rsidRPr="00207878" w:rsidRDefault="00780528" w:rsidP="00D545AD">
            <w:pPr>
              <w:tabs>
                <w:tab w:val="left" w:pos="567"/>
              </w:tabs>
              <w:jc w:val="both"/>
              <w:rPr>
                <w:rFonts w:cs="Times New Roman"/>
                <w:color w:val="BFBFBF" w:themeColor="background1" w:themeShade="BF"/>
                <w:sz w:val="24"/>
                <w:szCs w:val="24"/>
              </w:rPr>
            </w:pPr>
            <w:r w:rsidRPr="00207878">
              <w:rPr>
                <w:rFonts w:cs="Times New Roman"/>
                <w:color w:val="BFBFBF" w:themeColor="background1" w:themeShade="BF"/>
                <w:sz w:val="24"/>
                <w:szCs w:val="24"/>
              </w:rPr>
              <w:t>Temps de vol (en heures)</w:t>
            </w:r>
          </w:p>
        </w:tc>
        <w:tc>
          <w:tcPr>
            <w:tcW w:w="1417"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0,7</w:t>
            </w:r>
          </w:p>
        </w:tc>
        <w:tc>
          <w:tcPr>
            <w:tcW w:w="1560"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1,5</w:t>
            </w:r>
          </w:p>
        </w:tc>
        <w:tc>
          <w:tcPr>
            <w:tcW w:w="155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0,9</w:t>
            </w:r>
          </w:p>
        </w:tc>
        <w:tc>
          <w:tcPr>
            <w:tcW w:w="144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1,7</w:t>
            </w:r>
          </w:p>
        </w:tc>
      </w:tr>
      <w:tr w:rsidR="00207878" w:rsidRPr="00207878" w:rsidTr="00546D28">
        <w:tc>
          <w:tcPr>
            <w:tcW w:w="9212" w:type="dxa"/>
            <w:gridSpan w:val="5"/>
          </w:tcPr>
          <w:p w:rsidR="00663A76" w:rsidRPr="00207878" w:rsidRDefault="00663A76" w:rsidP="00B93328">
            <w:pPr>
              <w:tabs>
                <w:tab w:val="left" w:pos="567"/>
              </w:tabs>
              <w:jc w:val="center"/>
              <w:rPr>
                <w:rFonts w:cs="Times New Roman"/>
                <w:color w:val="BFBFBF" w:themeColor="background1" w:themeShade="BF"/>
                <w:sz w:val="24"/>
                <w:szCs w:val="24"/>
              </w:rPr>
            </w:pPr>
            <w:r w:rsidRPr="00207878">
              <w:rPr>
                <w:rFonts w:cs="Times New Roman"/>
                <w:b/>
                <w:color w:val="BFBFBF" w:themeColor="background1" w:themeShade="BF"/>
                <w:sz w:val="24"/>
                <w:szCs w:val="24"/>
              </w:rPr>
              <w:t>Nombre moyen de passagers</w:t>
            </w:r>
          </w:p>
        </w:tc>
      </w:tr>
      <w:tr w:rsidR="00207878" w:rsidRPr="00207878" w:rsidTr="00663A76">
        <w:tc>
          <w:tcPr>
            <w:tcW w:w="3227" w:type="dxa"/>
          </w:tcPr>
          <w:p w:rsidR="00780528" w:rsidRPr="00207878" w:rsidRDefault="00780528" w:rsidP="00D545AD">
            <w:pPr>
              <w:tabs>
                <w:tab w:val="left" w:pos="567"/>
              </w:tabs>
              <w:jc w:val="both"/>
              <w:rPr>
                <w:rFonts w:cs="Times New Roman"/>
                <w:color w:val="BFBFBF" w:themeColor="background1" w:themeShade="BF"/>
                <w:sz w:val="24"/>
                <w:szCs w:val="24"/>
              </w:rPr>
            </w:pPr>
            <w:r w:rsidRPr="00207878">
              <w:rPr>
                <w:rFonts w:cs="Times New Roman"/>
                <w:color w:val="BFBFBF" w:themeColor="background1" w:themeShade="BF"/>
                <w:sz w:val="24"/>
                <w:szCs w:val="24"/>
              </w:rPr>
              <w:t>Classe affaires</w:t>
            </w:r>
          </w:p>
        </w:tc>
        <w:tc>
          <w:tcPr>
            <w:tcW w:w="1417"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15</w:t>
            </w:r>
          </w:p>
        </w:tc>
        <w:tc>
          <w:tcPr>
            <w:tcW w:w="1560"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30</w:t>
            </w:r>
          </w:p>
        </w:tc>
        <w:tc>
          <w:tcPr>
            <w:tcW w:w="155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40</w:t>
            </w:r>
          </w:p>
        </w:tc>
        <w:tc>
          <w:tcPr>
            <w:tcW w:w="144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20</w:t>
            </w:r>
          </w:p>
        </w:tc>
      </w:tr>
      <w:tr w:rsidR="00207878" w:rsidRPr="00207878" w:rsidTr="00663A76">
        <w:tc>
          <w:tcPr>
            <w:tcW w:w="3227" w:type="dxa"/>
          </w:tcPr>
          <w:p w:rsidR="00780528" w:rsidRPr="00207878" w:rsidRDefault="00780528" w:rsidP="00D545AD">
            <w:pPr>
              <w:tabs>
                <w:tab w:val="left" w:pos="567"/>
              </w:tabs>
              <w:jc w:val="both"/>
              <w:rPr>
                <w:rFonts w:cs="Times New Roman"/>
                <w:color w:val="BFBFBF" w:themeColor="background1" w:themeShade="BF"/>
                <w:sz w:val="24"/>
                <w:szCs w:val="24"/>
              </w:rPr>
            </w:pPr>
            <w:r w:rsidRPr="00207878">
              <w:rPr>
                <w:rFonts w:cs="Times New Roman"/>
                <w:color w:val="BFBFBF" w:themeColor="background1" w:themeShade="BF"/>
                <w:sz w:val="24"/>
                <w:szCs w:val="24"/>
              </w:rPr>
              <w:lastRenderedPageBreak/>
              <w:t>Classe touriste</w:t>
            </w:r>
          </w:p>
        </w:tc>
        <w:tc>
          <w:tcPr>
            <w:tcW w:w="1417"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80</w:t>
            </w:r>
          </w:p>
        </w:tc>
        <w:tc>
          <w:tcPr>
            <w:tcW w:w="1560"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60</w:t>
            </w:r>
          </w:p>
        </w:tc>
        <w:tc>
          <w:tcPr>
            <w:tcW w:w="155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60</w:t>
            </w:r>
          </w:p>
        </w:tc>
        <w:tc>
          <w:tcPr>
            <w:tcW w:w="144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90</w:t>
            </w:r>
          </w:p>
        </w:tc>
      </w:tr>
      <w:tr w:rsidR="00207878" w:rsidRPr="00207878" w:rsidTr="00246337">
        <w:tc>
          <w:tcPr>
            <w:tcW w:w="9212" w:type="dxa"/>
            <w:gridSpan w:val="5"/>
          </w:tcPr>
          <w:p w:rsidR="00663A76" w:rsidRPr="00207878" w:rsidRDefault="00663A76" w:rsidP="00B93328">
            <w:pPr>
              <w:tabs>
                <w:tab w:val="left" w:pos="567"/>
              </w:tabs>
              <w:jc w:val="center"/>
              <w:rPr>
                <w:rFonts w:cs="Times New Roman"/>
                <w:b/>
                <w:color w:val="BFBFBF" w:themeColor="background1" w:themeShade="BF"/>
                <w:sz w:val="24"/>
                <w:szCs w:val="24"/>
              </w:rPr>
            </w:pPr>
            <w:r w:rsidRPr="00207878">
              <w:rPr>
                <w:rFonts w:cs="Times New Roman"/>
                <w:b/>
                <w:color w:val="BFBFBF" w:themeColor="background1" w:themeShade="BF"/>
                <w:sz w:val="24"/>
                <w:szCs w:val="24"/>
              </w:rPr>
              <w:t>Tarif aller simple</w:t>
            </w:r>
          </w:p>
        </w:tc>
      </w:tr>
      <w:tr w:rsidR="00207878" w:rsidRPr="00207878" w:rsidTr="00663A76">
        <w:tc>
          <w:tcPr>
            <w:tcW w:w="3227" w:type="dxa"/>
          </w:tcPr>
          <w:p w:rsidR="00780528" w:rsidRPr="00207878" w:rsidRDefault="00493DA4" w:rsidP="00D545AD">
            <w:pPr>
              <w:tabs>
                <w:tab w:val="left" w:pos="567"/>
              </w:tabs>
              <w:jc w:val="both"/>
              <w:rPr>
                <w:rFonts w:cs="Times New Roman"/>
                <w:color w:val="BFBFBF" w:themeColor="background1" w:themeShade="BF"/>
                <w:sz w:val="24"/>
                <w:szCs w:val="24"/>
              </w:rPr>
            </w:pPr>
            <w:r w:rsidRPr="00207878">
              <w:rPr>
                <w:rFonts w:cs="Times New Roman"/>
                <w:color w:val="BFBFBF" w:themeColor="background1" w:themeShade="BF"/>
                <w:sz w:val="24"/>
                <w:szCs w:val="24"/>
              </w:rPr>
              <w:t>Classe affaires</w:t>
            </w:r>
          </w:p>
        </w:tc>
        <w:tc>
          <w:tcPr>
            <w:tcW w:w="1417"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50€</w:t>
            </w:r>
          </w:p>
        </w:tc>
        <w:tc>
          <w:tcPr>
            <w:tcW w:w="1560"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95€</w:t>
            </w:r>
          </w:p>
        </w:tc>
        <w:tc>
          <w:tcPr>
            <w:tcW w:w="155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70€</w:t>
            </w:r>
          </w:p>
        </w:tc>
        <w:tc>
          <w:tcPr>
            <w:tcW w:w="144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90€</w:t>
            </w:r>
          </w:p>
        </w:tc>
      </w:tr>
      <w:tr w:rsidR="00207878" w:rsidRPr="00207878" w:rsidTr="00663A76">
        <w:tc>
          <w:tcPr>
            <w:tcW w:w="3227" w:type="dxa"/>
          </w:tcPr>
          <w:p w:rsidR="00780528" w:rsidRPr="00207878" w:rsidRDefault="00493DA4" w:rsidP="00D545AD">
            <w:pPr>
              <w:tabs>
                <w:tab w:val="left" w:pos="567"/>
              </w:tabs>
              <w:jc w:val="both"/>
              <w:rPr>
                <w:rFonts w:cs="Times New Roman"/>
                <w:color w:val="BFBFBF" w:themeColor="background1" w:themeShade="BF"/>
                <w:sz w:val="24"/>
                <w:szCs w:val="24"/>
              </w:rPr>
            </w:pPr>
            <w:r w:rsidRPr="00207878">
              <w:rPr>
                <w:rFonts w:cs="Times New Roman"/>
                <w:color w:val="BFBFBF" w:themeColor="background1" w:themeShade="BF"/>
                <w:sz w:val="24"/>
                <w:szCs w:val="24"/>
              </w:rPr>
              <w:t>Classe touriste</w:t>
            </w:r>
          </w:p>
        </w:tc>
        <w:tc>
          <w:tcPr>
            <w:tcW w:w="1417"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20€</w:t>
            </w:r>
          </w:p>
        </w:tc>
        <w:tc>
          <w:tcPr>
            <w:tcW w:w="1560"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40€</w:t>
            </w:r>
          </w:p>
        </w:tc>
        <w:tc>
          <w:tcPr>
            <w:tcW w:w="155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25€</w:t>
            </w:r>
          </w:p>
        </w:tc>
        <w:tc>
          <w:tcPr>
            <w:tcW w:w="1449" w:type="dxa"/>
          </w:tcPr>
          <w:p w:rsidR="00780528" w:rsidRPr="00207878" w:rsidRDefault="00493DA4" w:rsidP="00B93328">
            <w:pPr>
              <w:tabs>
                <w:tab w:val="left" w:pos="567"/>
              </w:tabs>
              <w:jc w:val="center"/>
              <w:rPr>
                <w:rFonts w:cs="Times New Roman"/>
                <w:color w:val="BFBFBF" w:themeColor="background1" w:themeShade="BF"/>
                <w:sz w:val="24"/>
                <w:szCs w:val="24"/>
              </w:rPr>
            </w:pPr>
            <w:r w:rsidRPr="00207878">
              <w:rPr>
                <w:rFonts w:cs="Times New Roman"/>
                <w:color w:val="BFBFBF" w:themeColor="background1" w:themeShade="BF"/>
                <w:sz w:val="24"/>
                <w:szCs w:val="24"/>
              </w:rPr>
              <w:t>50€</w:t>
            </w:r>
          </w:p>
        </w:tc>
      </w:tr>
    </w:tbl>
    <w:p w:rsidR="00780528" w:rsidRPr="00207878" w:rsidRDefault="00493DA4" w:rsidP="00D545AD">
      <w:pPr>
        <w:tabs>
          <w:tab w:val="left" w:pos="567"/>
        </w:tabs>
        <w:spacing w:after="0" w:line="240" w:lineRule="auto"/>
        <w:jc w:val="both"/>
        <w:rPr>
          <w:rFonts w:cs="Times New Roman"/>
          <w:color w:val="BFBFBF" w:themeColor="background1" w:themeShade="BF"/>
          <w:sz w:val="24"/>
          <w:szCs w:val="24"/>
        </w:rPr>
      </w:pPr>
      <w:r w:rsidRPr="00207878">
        <w:rPr>
          <w:rFonts w:cs="Times New Roman"/>
          <w:color w:val="BFBFBF" w:themeColor="background1" w:themeShade="BF"/>
          <w:sz w:val="24"/>
          <w:szCs w:val="24"/>
        </w:rPr>
        <w:t xml:space="preserve">Carburant et entretien par heure de vol : 3 000 € </w:t>
      </w:r>
    </w:p>
    <w:p w:rsidR="009E52FC" w:rsidRPr="00207878" w:rsidRDefault="00493DA4" w:rsidP="00D545AD">
      <w:pPr>
        <w:tabs>
          <w:tab w:val="left" w:pos="567"/>
        </w:tabs>
        <w:spacing w:after="0" w:line="240" w:lineRule="auto"/>
        <w:jc w:val="both"/>
        <w:rPr>
          <w:rFonts w:cs="Times New Roman"/>
          <w:color w:val="BFBFBF" w:themeColor="background1" w:themeShade="BF"/>
          <w:sz w:val="24"/>
          <w:szCs w:val="24"/>
        </w:rPr>
      </w:pPr>
      <w:r w:rsidRPr="00207878">
        <w:rPr>
          <w:rFonts w:cs="Times New Roman"/>
          <w:color w:val="BFBFBF" w:themeColor="background1" w:themeShade="BF"/>
          <w:sz w:val="24"/>
          <w:szCs w:val="24"/>
        </w:rPr>
        <w:t>Rémunération de l’équipage par avion et par jour de vol : 800 €</w:t>
      </w:r>
      <w:r w:rsidR="009E52FC" w:rsidRPr="00207878">
        <w:rPr>
          <w:rFonts w:cs="Times New Roman"/>
          <w:color w:val="BFBFBF" w:themeColor="background1" w:themeShade="BF"/>
          <w:sz w:val="24"/>
          <w:szCs w:val="24"/>
        </w:rPr>
        <w:t xml:space="preserve"> (charge variable)</w:t>
      </w:r>
    </w:p>
    <w:p w:rsidR="00493DA4" w:rsidRPr="00207878" w:rsidRDefault="00493DA4" w:rsidP="00D545AD">
      <w:pPr>
        <w:tabs>
          <w:tab w:val="left" w:pos="567"/>
        </w:tabs>
        <w:spacing w:after="0" w:line="240" w:lineRule="auto"/>
        <w:jc w:val="both"/>
        <w:rPr>
          <w:rFonts w:cs="Times New Roman"/>
          <w:color w:val="BFBFBF" w:themeColor="background1" w:themeShade="BF"/>
          <w:sz w:val="24"/>
          <w:szCs w:val="24"/>
        </w:rPr>
      </w:pPr>
      <w:r w:rsidRPr="00207878">
        <w:rPr>
          <w:rFonts w:cs="Times New Roman"/>
          <w:color w:val="BFBFBF" w:themeColor="background1" w:themeShade="BF"/>
          <w:sz w:val="24"/>
          <w:szCs w:val="24"/>
        </w:rPr>
        <w:t>Charges fixes annuelles par avion : 200 000 €</w:t>
      </w:r>
    </w:p>
    <w:p w:rsidR="00493DA4" w:rsidRPr="00207878" w:rsidRDefault="00493DA4" w:rsidP="00D545AD">
      <w:pPr>
        <w:tabs>
          <w:tab w:val="left" w:pos="567"/>
        </w:tabs>
        <w:spacing w:after="0" w:line="240" w:lineRule="auto"/>
        <w:jc w:val="both"/>
        <w:rPr>
          <w:rFonts w:cs="Times New Roman"/>
          <w:color w:val="BFBFBF" w:themeColor="background1" w:themeShade="BF"/>
          <w:sz w:val="24"/>
          <w:szCs w:val="24"/>
        </w:rPr>
      </w:pPr>
      <w:r w:rsidRPr="00207878">
        <w:rPr>
          <w:rFonts w:cs="Times New Roman"/>
          <w:color w:val="BFBFBF" w:themeColor="background1" w:themeShade="BF"/>
          <w:sz w:val="24"/>
          <w:szCs w:val="24"/>
        </w:rPr>
        <w:t xml:space="preserve">Charges fixes annuelles d’administration générale : 3 000 000 € </w:t>
      </w:r>
    </w:p>
    <w:p w:rsidR="00493DA4" w:rsidRPr="00207878" w:rsidRDefault="00493DA4" w:rsidP="00D545AD">
      <w:pPr>
        <w:tabs>
          <w:tab w:val="left" w:pos="567"/>
        </w:tabs>
        <w:spacing w:after="0" w:line="240" w:lineRule="auto"/>
        <w:jc w:val="both"/>
        <w:rPr>
          <w:rFonts w:cs="Times New Roman"/>
          <w:color w:val="BFBFBF" w:themeColor="background1" w:themeShade="BF"/>
          <w:sz w:val="24"/>
          <w:szCs w:val="24"/>
        </w:rPr>
      </w:pPr>
    </w:p>
    <w:p w:rsidR="00493DA4" w:rsidRPr="00207878" w:rsidRDefault="00493DA4" w:rsidP="00D545AD">
      <w:pPr>
        <w:tabs>
          <w:tab w:val="left" w:pos="567"/>
        </w:tabs>
        <w:spacing w:after="0" w:line="240" w:lineRule="auto"/>
        <w:jc w:val="both"/>
        <w:rPr>
          <w:rFonts w:cs="Times New Roman"/>
          <w:color w:val="BFBFBF" w:themeColor="background1" w:themeShade="BF"/>
          <w:sz w:val="24"/>
          <w:szCs w:val="24"/>
          <w:u w:val="single"/>
        </w:rPr>
      </w:pPr>
      <w:r w:rsidRPr="00207878">
        <w:rPr>
          <w:rFonts w:cs="Times New Roman"/>
          <w:color w:val="BFBFBF" w:themeColor="background1" w:themeShade="BF"/>
          <w:sz w:val="24"/>
          <w:szCs w:val="24"/>
          <w:u w:val="single"/>
        </w:rPr>
        <w:t>Annexe 2 - Division Maintenance</w:t>
      </w:r>
    </w:p>
    <w:p w:rsidR="00A015B2" w:rsidRPr="00207878" w:rsidRDefault="00A015B2" w:rsidP="00D545AD">
      <w:pPr>
        <w:tabs>
          <w:tab w:val="left" w:pos="567"/>
        </w:tabs>
        <w:spacing w:after="0" w:line="240" w:lineRule="auto"/>
        <w:jc w:val="both"/>
        <w:rPr>
          <w:rFonts w:cs="Times New Roman"/>
          <w:color w:val="BFBFBF" w:themeColor="background1" w:themeShade="BF"/>
          <w:sz w:val="24"/>
          <w:szCs w:val="24"/>
        </w:rPr>
      </w:pPr>
      <w:r w:rsidRPr="00207878">
        <w:rPr>
          <w:rFonts w:cs="Times New Roman"/>
          <w:color w:val="BFBFBF" w:themeColor="background1" w:themeShade="BF"/>
          <w:sz w:val="24"/>
          <w:szCs w:val="24"/>
        </w:rPr>
        <w:t>L’activité de la division Maintenance consiste à entretenir et à réparer les quatre avions de la division Passagers et les deux avions de la division Fret</w:t>
      </w:r>
      <w:r w:rsidR="002E72DC" w:rsidRPr="00207878">
        <w:rPr>
          <w:rFonts w:cs="Times New Roman"/>
          <w:color w:val="BFBFBF" w:themeColor="background1" w:themeShade="BF"/>
          <w:sz w:val="24"/>
          <w:szCs w:val="24"/>
        </w:rPr>
        <w:t xml:space="preserve"> (</w:t>
      </w:r>
      <w:r w:rsidR="00D7316B" w:rsidRPr="00207878">
        <w:rPr>
          <w:rFonts w:cs="Times New Roman"/>
          <w:color w:val="BFBFBF" w:themeColor="background1" w:themeShade="BF"/>
          <w:sz w:val="24"/>
          <w:szCs w:val="24"/>
        </w:rPr>
        <w:t xml:space="preserve">qui effectuent </w:t>
      </w:r>
      <w:r w:rsidR="002E72DC" w:rsidRPr="00207878">
        <w:rPr>
          <w:rFonts w:cs="Times New Roman"/>
          <w:color w:val="BFBFBF" w:themeColor="background1" w:themeShade="BF"/>
          <w:sz w:val="24"/>
          <w:szCs w:val="24"/>
        </w:rPr>
        <w:t>3 000 heures de vol)</w:t>
      </w:r>
      <w:r w:rsidRPr="00207878">
        <w:rPr>
          <w:rFonts w:cs="Times New Roman"/>
          <w:color w:val="BFBFBF" w:themeColor="background1" w:themeShade="BF"/>
          <w:sz w:val="24"/>
          <w:szCs w:val="24"/>
        </w:rPr>
        <w:t xml:space="preserve">. Chaque avion subit une révision toutes les 100 heures de vol </w:t>
      </w:r>
      <w:r w:rsidR="00315273" w:rsidRPr="00207878">
        <w:rPr>
          <w:rFonts w:cs="Times New Roman"/>
          <w:color w:val="BFBFBF" w:themeColor="background1" w:themeShade="BF"/>
          <w:sz w:val="24"/>
          <w:szCs w:val="24"/>
        </w:rPr>
        <w:t>(le calcul des heures de vol est arrondi</w:t>
      </w:r>
      <w:r w:rsidR="0075011B" w:rsidRPr="00207878">
        <w:rPr>
          <w:rFonts w:cs="Times New Roman"/>
          <w:color w:val="BFBFBF" w:themeColor="background1" w:themeShade="BF"/>
          <w:sz w:val="24"/>
          <w:szCs w:val="24"/>
        </w:rPr>
        <w:t xml:space="preserve"> à l’unité la plus proche) </w:t>
      </w:r>
      <w:r w:rsidRPr="00207878">
        <w:rPr>
          <w:rFonts w:cs="Times New Roman"/>
          <w:color w:val="BFBFBF" w:themeColor="background1" w:themeShade="BF"/>
          <w:sz w:val="24"/>
          <w:szCs w:val="24"/>
        </w:rPr>
        <w:t xml:space="preserve">et un contrôle de sécurité tous les </w:t>
      </w:r>
      <w:r w:rsidR="00283EBD">
        <w:rPr>
          <w:rFonts w:cs="Times New Roman"/>
          <w:color w:val="BFBFBF" w:themeColor="background1" w:themeShade="BF"/>
          <w:sz w:val="24"/>
          <w:szCs w:val="24"/>
        </w:rPr>
        <w:t>trois</w:t>
      </w:r>
      <w:r w:rsidRPr="00207878">
        <w:rPr>
          <w:rFonts w:cs="Times New Roman"/>
          <w:color w:val="BFBFBF" w:themeColor="background1" w:themeShade="BF"/>
          <w:sz w:val="24"/>
          <w:szCs w:val="24"/>
        </w:rPr>
        <w:t xml:space="preserve"> mois.</w:t>
      </w:r>
    </w:p>
    <w:p w:rsidR="004D74F4" w:rsidRPr="001118F6" w:rsidRDefault="00A015B2" w:rsidP="004D74F4">
      <w:pPr>
        <w:tabs>
          <w:tab w:val="left" w:pos="567"/>
        </w:tabs>
        <w:spacing w:after="0" w:line="240" w:lineRule="auto"/>
        <w:jc w:val="both"/>
        <w:rPr>
          <w:rFonts w:cs="Times New Roman"/>
          <w:color w:val="A6A6A6" w:themeColor="background1" w:themeShade="A6"/>
          <w:sz w:val="24"/>
          <w:szCs w:val="24"/>
        </w:rPr>
      </w:pPr>
      <w:r w:rsidRPr="001118F6">
        <w:rPr>
          <w:rFonts w:cs="Times New Roman"/>
          <w:color w:val="A6A6A6" w:themeColor="background1" w:themeShade="A6"/>
          <w:sz w:val="24"/>
          <w:szCs w:val="24"/>
        </w:rPr>
        <w:t xml:space="preserve">La division emploie </w:t>
      </w:r>
      <w:r w:rsidR="004D74F4" w:rsidRPr="001118F6">
        <w:rPr>
          <w:rFonts w:cs="Times New Roman"/>
          <w:color w:val="A6A6A6" w:themeColor="background1" w:themeShade="A6"/>
          <w:sz w:val="24"/>
          <w:szCs w:val="24"/>
        </w:rPr>
        <w:t>trois</w:t>
      </w:r>
      <w:r w:rsidRPr="001118F6">
        <w:rPr>
          <w:rFonts w:cs="Times New Roman"/>
          <w:color w:val="A6A6A6" w:themeColor="background1" w:themeShade="A6"/>
          <w:sz w:val="24"/>
          <w:szCs w:val="24"/>
        </w:rPr>
        <w:t xml:space="preserve"> ouvriers dont le coût annuel, charges comprises, s’élève à 20 000 € par ouvrier, et un ingénieur dont le coût annuel est de 45 000 €. Chaque révision d’un avion consomme 1 000 € de pièces et fournitures et chaque contrôle de sécurité en consomme pour </w:t>
      </w:r>
      <w:r w:rsidR="00440ADD" w:rsidRPr="001118F6">
        <w:rPr>
          <w:rFonts w:cs="Times New Roman"/>
          <w:color w:val="A6A6A6" w:themeColor="background1" w:themeShade="A6"/>
          <w:sz w:val="24"/>
          <w:szCs w:val="24"/>
        </w:rPr>
        <w:t>450 €. L’ingénieur de maintenance prendra sa retraite dans trois ans. Aerojet devrait embaucher un ingénieur débutant et assurer sa formation pendant ces trois années pour un coût annuel de 30 000 €.</w:t>
      </w:r>
      <w:r w:rsidR="00951FDD" w:rsidRPr="001118F6">
        <w:rPr>
          <w:rFonts w:cs="Times New Roman"/>
          <w:color w:val="A6A6A6" w:themeColor="background1" w:themeShade="A6"/>
          <w:sz w:val="24"/>
          <w:szCs w:val="24"/>
        </w:rPr>
        <w:t xml:space="preserve"> A</w:t>
      </w:r>
      <w:r w:rsidR="00440ADD" w:rsidRPr="001118F6">
        <w:rPr>
          <w:rFonts w:cs="Times New Roman"/>
          <w:color w:val="A6A6A6" w:themeColor="background1" w:themeShade="A6"/>
          <w:sz w:val="24"/>
          <w:szCs w:val="24"/>
        </w:rPr>
        <w:t>erojet reçoit une offre d’une grande compagnie aérienne qui propose d’assurer la maintena</w:t>
      </w:r>
      <w:r w:rsidR="004D74F4" w:rsidRPr="001118F6">
        <w:rPr>
          <w:rFonts w:cs="Times New Roman"/>
          <w:color w:val="A6A6A6" w:themeColor="background1" w:themeShade="A6"/>
          <w:sz w:val="24"/>
          <w:szCs w:val="24"/>
        </w:rPr>
        <w:t>nce pour un forfait annuel de 195</w:t>
      </w:r>
      <w:r w:rsidR="007F7824" w:rsidRPr="001118F6">
        <w:rPr>
          <w:rFonts w:cs="Times New Roman"/>
          <w:color w:val="A6A6A6" w:themeColor="background1" w:themeShade="A6"/>
          <w:sz w:val="24"/>
          <w:szCs w:val="24"/>
        </w:rPr>
        <w:t> </w:t>
      </w:r>
      <w:r w:rsidR="00440ADD" w:rsidRPr="001118F6">
        <w:rPr>
          <w:rFonts w:cs="Times New Roman"/>
          <w:color w:val="A6A6A6" w:themeColor="background1" w:themeShade="A6"/>
          <w:sz w:val="24"/>
          <w:szCs w:val="24"/>
        </w:rPr>
        <w:t>000</w:t>
      </w:r>
      <w:r w:rsidR="007F7824" w:rsidRPr="001118F6">
        <w:rPr>
          <w:rFonts w:cs="Times New Roman"/>
          <w:color w:val="A6A6A6" w:themeColor="background1" w:themeShade="A6"/>
          <w:sz w:val="24"/>
          <w:szCs w:val="24"/>
        </w:rPr>
        <w:t xml:space="preserve"> €, pièces et main-d’œuvre.</w:t>
      </w:r>
    </w:p>
    <w:sectPr w:rsidR="004D74F4" w:rsidRPr="001118F6" w:rsidSect="004E71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51A" w:rsidRDefault="00BD451A" w:rsidP="00D4589F">
      <w:pPr>
        <w:spacing w:after="0" w:line="240" w:lineRule="auto"/>
      </w:pPr>
      <w:r>
        <w:separator/>
      </w:r>
    </w:p>
  </w:endnote>
  <w:endnote w:type="continuationSeparator" w:id="0">
    <w:p w:rsidR="00BD451A" w:rsidRDefault="00BD451A" w:rsidP="00D4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0379"/>
      <w:docPartObj>
        <w:docPartGallery w:val="Page Numbers (Bottom of Page)"/>
        <w:docPartUnique/>
      </w:docPartObj>
    </w:sdtPr>
    <w:sdtEndPr/>
    <w:sdtContent>
      <w:p w:rsidR="00A055EB" w:rsidRDefault="00C01731">
        <w:pPr>
          <w:pStyle w:val="Pieddepage"/>
          <w:jc w:val="right"/>
        </w:pPr>
        <w:r w:rsidRPr="00D4589F">
          <w:rPr>
            <w:rFonts w:ascii="Times New Roman" w:hAnsi="Times New Roman" w:cs="Times New Roman"/>
          </w:rPr>
          <w:fldChar w:fldCharType="begin"/>
        </w:r>
        <w:r w:rsidR="00A055EB" w:rsidRPr="00D4589F">
          <w:rPr>
            <w:rFonts w:ascii="Times New Roman" w:hAnsi="Times New Roman" w:cs="Times New Roman"/>
          </w:rPr>
          <w:instrText xml:space="preserve"> PAGE   \* MERGEFORMAT </w:instrText>
        </w:r>
        <w:r w:rsidRPr="00D4589F">
          <w:rPr>
            <w:rFonts w:ascii="Times New Roman" w:hAnsi="Times New Roman" w:cs="Times New Roman"/>
          </w:rPr>
          <w:fldChar w:fldCharType="separate"/>
        </w:r>
        <w:r w:rsidR="00BE2BD5">
          <w:rPr>
            <w:rFonts w:ascii="Times New Roman" w:hAnsi="Times New Roman" w:cs="Times New Roman"/>
            <w:noProof/>
          </w:rPr>
          <w:t>1</w:t>
        </w:r>
        <w:r w:rsidRPr="00D4589F">
          <w:rPr>
            <w:rFonts w:ascii="Times New Roman" w:hAnsi="Times New Roman" w:cs="Times New Roman"/>
          </w:rPr>
          <w:fldChar w:fldCharType="end"/>
        </w:r>
      </w:p>
    </w:sdtContent>
  </w:sdt>
  <w:p w:rsidR="00A055EB" w:rsidRDefault="00A055E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51A" w:rsidRDefault="00BD451A" w:rsidP="00D4589F">
      <w:pPr>
        <w:spacing w:after="0" w:line="240" w:lineRule="auto"/>
      </w:pPr>
      <w:r>
        <w:separator/>
      </w:r>
    </w:p>
  </w:footnote>
  <w:footnote w:type="continuationSeparator" w:id="0">
    <w:p w:rsidR="00BD451A" w:rsidRDefault="00BD451A" w:rsidP="00D45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6D3F"/>
    <w:multiLevelType w:val="hybridMultilevel"/>
    <w:tmpl w:val="6B62E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0B573C"/>
    <w:multiLevelType w:val="hybridMultilevel"/>
    <w:tmpl w:val="6040FD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B63D7"/>
    <w:rsid w:val="00007E78"/>
    <w:rsid w:val="0003114C"/>
    <w:rsid w:val="00081A1D"/>
    <w:rsid w:val="000F0575"/>
    <w:rsid w:val="001038FA"/>
    <w:rsid w:val="001118F6"/>
    <w:rsid w:val="00120B10"/>
    <w:rsid w:val="00130982"/>
    <w:rsid w:val="00136A9A"/>
    <w:rsid w:val="00150231"/>
    <w:rsid w:val="0016428A"/>
    <w:rsid w:val="00177A61"/>
    <w:rsid w:val="0019742C"/>
    <w:rsid w:val="001B16B5"/>
    <w:rsid w:val="001E4608"/>
    <w:rsid w:val="00207878"/>
    <w:rsid w:val="00213733"/>
    <w:rsid w:val="002221A6"/>
    <w:rsid w:val="00235DB8"/>
    <w:rsid w:val="00251F12"/>
    <w:rsid w:val="00264843"/>
    <w:rsid w:val="00270E94"/>
    <w:rsid w:val="00275831"/>
    <w:rsid w:val="00283EBD"/>
    <w:rsid w:val="002844DA"/>
    <w:rsid w:val="002B3B38"/>
    <w:rsid w:val="002B5881"/>
    <w:rsid w:val="002C1494"/>
    <w:rsid w:val="002E72DC"/>
    <w:rsid w:val="00311CCE"/>
    <w:rsid w:val="00315273"/>
    <w:rsid w:val="003359CB"/>
    <w:rsid w:val="003414B7"/>
    <w:rsid w:val="003502CD"/>
    <w:rsid w:val="003530EA"/>
    <w:rsid w:val="00360763"/>
    <w:rsid w:val="00366E83"/>
    <w:rsid w:val="003A507F"/>
    <w:rsid w:val="003B0974"/>
    <w:rsid w:val="003B0FCA"/>
    <w:rsid w:val="003B43AB"/>
    <w:rsid w:val="003F2C20"/>
    <w:rsid w:val="004020B7"/>
    <w:rsid w:val="00440ADD"/>
    <w:rsid w:val="0047683B"/>
    <w:rsid w:val="00493DA4"/>
    <w:rsid w:val="004D6B0A"/>
    <w:rsid w:val="004D74F4"/>
    <w:rsid w:val="004E71CC"/>
    <w:rsid w:val="004F15E0"/>
    <w:rsid w:val="00501C67"/>
    <w:rsid w:val="00501D05"/>
    <w:rsid w:val="005125F4"/>
    <w:rsid w:val="00512A37"/>
    <w:rsid w:val="0051445C"/>
    <w:rsid w:val="00517D59"/>
    <w:rsid w:val="00524787"/>
    <w:rsid w:val="005474D4"/>
    <w:rsid w:val="00562497"/>
    <w:rsid w:val="005654E1"/>
    <w:rsid w:val="00581766"/>
    <w:rsid w:val="005836A3"/>
    <w:rsid w:val="005A0DB7"/>
    <w:rsid w:val="005A78AC"/>
    <w:rsid w:val="005C77B5"/>
    <w:rsid w:val="00613242"/>
    <w:rsid w:val="006577B8"/>
    <w:rsid w:val="00663A76"/>
    <w:rsid w:val="006816C5"/>
    <w:rsid w:val="006A111F"/>
    <w:rsid w:val="006C3F9B"/>
    <w:rsid w:val="006C4719"/>
    <w:rsid w:val="006C51AC"/>
    <w:rsid w:val="006D6B3E"/>
    <w:rsid w:val="006E070C"/>
    <w:rsid w:val="006E5FDE"/>
    <w:rsid w:val="006E6168"/>
    <w:rsid w:val="0075011B"/>
    <w:rsid w:val="00780528"/>
    <w:rsid w:val="007934DE"/>
    <w:rsid w:val="00794101"/>
    <w:rsid w:val="007A2632"/>
    <w:rsid w:val="007B63D7"/>
    <w:rsid w:val="007C410F"/>
    <w:rsid w:val="007E1DDF"/>
    <w:rsid w:val="007F5212"/>
    <w:rsid w:val="007F7824"/>
    <w:rsid w:val="0080186C"/>
    <w:rsid w:val="00897236"/>
    <w:rsid w:val="00915AC6"/>
    <w:rsid w:val="00921215"/>
    <w:rsid w:val="00951FDD"/>
    <w:rsid w:val="009B60F4"/>
    <w:rsid w:val="009B67B2"/>
    <w:rsid w:val="009D52F1"/>
    <w:rsid w:val="009E52FC"/>
    <w:rsid w:val="00A015B2"/>
    <w:rsid w:val="00A050CD"/>
    <w:rsid w:val="00A055EB"/>
    <w:rsid w:val="00A260B1"/>
    <w:rsid w:val="00A30CE2"/>
    <w:rsid w:val="00A36360"/>
    <w:rsid w:val="00A6363B"/>
    <w:rsid w:val="00A727CF"/>
    <w:rsid w:val="00A7632C"/>
    <w:rsid w:val="00A80E2D"/>
    <w:rsid w:val="00AA2CFB"/>
    <w:rsid w:val="00B074F9"/>
    <w:rsid w:val="00B708F8"/>
    <w:rsid w:val="00B93328"/>
    <w:rsid w:val="00B97F99"/>
    <w:rsid w:val="00BB17BA"/>
    <w:rsid w:val="00BB2440"/>
    <w:rsid w:val="00BB7DE8"/>
    <w:rsid w:val="00BC552A"/>
    <w:rsid w:val="00BD451A"/>
    <w:rsid w:val="00BE2BD5"/>
    <w:rsid w:val="00BE584E"/>
    <w:rsid w:val="00BF328B"/>
    <w:rsid w:val="00BF47AB"/>
    <w:rsid w:val="00C01731"/>
    <w:rsid w:val="00C33C14"/>
    <w:rsid w:val="00C61DD1"/>
    <w:rsid w:val="00C631D1"/>
    <w:rsid w:val="00C6639D"/>
    <w:rsid w:val="00C8019A"/>
    <w:rsid w:val="00C859D4"/>
    <w:rsid w:val="00C95453"/>
    <w:rsid w:val="00CA18B0"/>
    <w:rsid w:val="00CF77F3"/>
    <w:rsid w:val="00D026C6"/>
    <w:rsid w:val="00D03533"/>
    <w:rsid w:val="00D4589F"/>
    <w:rsid w:val="00D545AD"/>
    <w:rsid w:val="00D7316B"/>
    <w:rsid w:val="00D82039"/>
    <w:rsid w:val="00DA50BC"/>
    <w:rsid w:val="00DB68E5"/>
    <w:rsid w:val="00DF4B95"/>
    <w:rsid w:val="00E36B5C"/>
    <w:rsid w:val="00E8299B"/>
    <w:rsid w:val="00E86CEC"/>
    <w:rsid w:val="00E874E7"/>
    <w:rsid w:val="00E87BC2"/>
    <w:rsid w:val="00EE5435"/>
    <w:rsid w:val="00EF79A6"/>
    <w:rsid w:val="00EF7B48"/>
    <w:rsid w:val="00F36607"/>
    <w:rsid w:val="00F37335"/>
    <w:rsid w:val="00F45C8B"/>
    <w:rsid w:val="00F45D66"/>
    <w:rsid w:val="00FA185A"/>
    <w:rsid w:val="00FF1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3F8D6"/>
  <w15:docId w15:val="{08B4C706-1615-4ED8-9530-6FBA9235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5654E1"/>
    <w:pPr>
      <w:spacing w:before="600" w:after="360" w:line="360" w:lineRule="auto"/>
      <w:jc w:val="both"/>
    </w:pPr>
    <w:rPr>
      <w:rFonts w:ascii="Times New Roman" w:hAnsi="Times New Roman" w:cs="Times New Roman"/>
      <w:b/>
      <w:sz w:val="28"/>
      <w:szCs w:val="28"/>
    </w:rPr>
  </w:style>
  <w:style w:type="character" w:customStyle="1" w:styleId="Style1Car">
    <w:name w:val="Style1 Car"/>
    <w:basedOn w:val="Policepardfaut"/>
    <w:link w:val="Style1"/>
    <w:rsid w:val="005654E1"/>
    <w:rPr>
      <w:rFonts w:ascii="Times New Roman" w:hAnsi="Times New Roman" w:cs="Times New Roman"/>
      <w:b/>
      <w:sz w:val="28"/>
      <w:szCs w:val="28"/>
    </w:rPr>
  </w:style>
  <w:style w:type="paragraph" w:customStyle="1" w:styleId="Style2">
    <w:name w:val="Style2"/>
    <w:basedOn w:val="Normal"/>
    <w:link w:val="Style2Car"/>
    <w:qFormat/>
    <w:rsid w:val="005654E1"/>
    <w:pPr>
      <w:spacing w:before="360" w:after="360" w:line="360" w:lineRule="auto"/>
      <w:jc w:val="both"/>
    </w:pPr>
    <w:rPr>
      <w:rFonts w:ascii="Times New Roman" w:hAnsi="Times New Roman" w:cs="Times New Roman"/>
      <w:b/>
      <w:sz w:val="24"/>
      <w:szCs w:val="24"/>
    </w:rPr>
  </w:style>
  <w:style w:type="character" w:customStyle="1" w:styleId="Style2Car">
    <w:name w:val="Style2 Car"/>
    <w:basedOn w:val="Policepardfaut"/>
    <w:link w:val="Style2"/>
    <w:rsid w:val="005654E1"/>
    <w:rPr>
      <w:rFonts w:ascii="Times New Roman" w:hAnsi="Times New Roman" w:cs="Times New Roman"/>
      <w:b/>
      <w:sz w:val="24"/>
      <w:szCs w:val="24"/>
    </w:rPr>
  </w:style>
  <w:style w:type="paragraph" w:customStyle="1" w:styleId="Style3">
    <w:name w:val="Style3"/>
    <w:basedOn w:val="Normal"/>
    <w:link w:val="Style3Car"/>
    <w:qFormat/>
    <w:rsid w:val="005654E1"/>
    <w:pPr>
      <w:spacing w:before="240" w:after="240" w:line="360" w:lineRule="auto"/>
      <w:jc w:val="both"/>
    </w:pPr>
    <w:rPr>
      <w:rFonts w:ascii="Times New Roman" w:hAnsi="Times New Roman" w:cs="Times New Roman"/>
      <w:i/>
      <w:sz w:val="24"/>
      <w:szCs w:val="24"/>
    </w:rPr>
  </w:style>
  <w:style w:type="character" w:customStyle="1" w:styleId="Style3Car">
    <w:name w:val="Style3 Car"/>
    <w:basedOn w:val="Policepardfaut"/>
    <w:link w:val="Style3"/>
    <w:rsid w:val="005654E1"/>
    <w:rPr>
      <w:rFonts w:ascii="Times New Roman" w:hAnsi="Times New Roman" w:cs="Times New Roman"/>
      <w:i/>
      <w:sz w:val="24"/>
      <w:szCs w:val="24"/>
    </w:rPr>
  </w:style>
  <w:style w:type="paragraph" w:styleId="Paragraphedeliste">
    <w:name w:val="List Paragraph"/>
    <w:basedOn w:val="Normal"/>
    <w:uiPriority w:val="34"/>
    <w:qFormat/>
    <w:rsid w:val="00FA185A"/>
    <w:pPr>
      <w:ind w:left="720"/>
      <w:contextualSpacing/>
    </w:pPr>
  </w:style>
  <w:style w:type="table" w:styleId="Grilledutableau">
    <w:name w:val="Table Grid"/>
    <w:basedOn w:val="TableauNormal"/>
    <w:uiPriority w:val="59"/>
    <w:rsid w:val="005A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D458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589F"/>
  </w:style>
  <w:style w:type="paragraph" w:styleId="Pieddepage">
    <w:name w:val="footer"/>
    <w:basedOn w:val="Normal"/>
    <w:link w:val="PieddepageCar"/>
    <w:uiPriority w:val="99"/>
    <w:unhideWhenUsed/>
    <w:rsid w:val="00D45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227269">
      <w:bodyDiv w:val="1"/>
      <w:marLeft w:val="0"/>
      <w:marRight w:val="0"/>
      <w:marTop w:val="0"/>
      <w:marBottom w:val="0"/>
      <w:divBdr>
        <w:top w:val="none" w:sz="0" w:space="0" w:color="auto"/>
        <w:left w:val="none" w:sz="0" w:space="0" w:color="auto"/>
        <w:bottom w:val="none" w:sz="0" w:space="0" w:color="auto"/>
        <w:right w:val="none" w:sz="0" w:space="0" w:color="auto"/>
      </w:divBdr>
    </w:div>
    <w:div w:id="19374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961</Words>
  <Characters>5287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cp:lastModifiedBy>
  <cp:revision>9</cp:revision>
  <cp:lastPrinted>2012-11-19T14:35:00Z</cp:lastPrinted>
  <dcterms:created xsi:type="dcterms:W3CDTF">2015-11-11T16:09:00Z</dcterms:created>
  <dcterms:modified xsi:type="dcterms:W3CDTF">2022-03-24T07:17:00Z</dcterms:modified>
</cp:coreProperties>
</file>