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C48" w:rsidRPr="00E66DDC" w:rsidRDefault="00C1639D">
      <w:pPr>
        <w:rPr>
          <w:rFonts w:ascii="Arial" w:hAnsi="Arial" w:cs="Arial"/>
          <w:sz w:val="32"/>
          <w:szCs w:val="32"/>
        </w:rPr>
      </w:pPr>
      <w:r w:rsidRPr="00E66DDC">
        <w:rPr>
          <w:rFonts w:ascii="Arial" w:hAnsi="Arial" w:cs="Arial"/>
          <w:sz w:val="32"/>
          <w:szCs w:val="32"/>
        </w:rPr>
        <w:t>La réforme de la responsabilité des gestionnaires publics</w:t>
      </w:r>
    </w:p>
    <w:p w:rsidR="00C1639D" w:rsidRPr="00E66DDC" w:rsidRDefault="00C1639D">
      <w:pPr>
        <w:rPr>
          <w:rFonts w:ascii="Arial" w:hAnsi="Arial" w:cs="Arial"/>
          <w:sz w:val="32"/>
          <w:szCs w:val="32"/>
        </w:rPr>
      </w:pPr>
    </w:p>
    <w:p w:rsidR="00C1639D" w:rsidRPr="00E66DDC" w:rsidRDefault="00C1639D">
      <w:pPr>
        <w:rPr>
          <w:rFonts w:ascii="Arial" w:hAnsi="Arial" w:cs="Arial"/>
          <w:sz w:val="32"/>
          <w:szCs w:val="32"/>
        </w:rPr>
      </w:pPr>
      <w:r w:rsidRPr="00E66DDC">
        <w:rPr>
          <w:rFonts w:ascii="Arial" w:hAnsi="Arial" w:cs="Arial"/>
          <w:sz w:val="32"/>
          <w:szCs w:val="32"/>
        </w:rPr>
        <w:t>Source : Ordonnance n°2022-408 du 23 mars 2022 relative à la responsabilité financière des gestionnaires publics</w:t>
      </w:r>
    </w:p>
    <w:p w:rsidR="00C1639D" w:rsidRPr="00E66DDC" w:rsidRDefault="00C1639D">
      <w:pPr>
        <w:rPr>
          <w:rFonts w:ascii="Arial" w:hAnsi="Arial" w:cs="Arial"/>
          <w:sz w:val="32"/>
          <w:szCs w:val="32"/>
        </w:rPr>
      </w:pPr>
    </w:p>
    <w:p w:rsidR="00C1639D" w:rsidRPr="00E66DDC" w:rsidRDefault="00C1639D">
      <w:pPr>
        <w:rPr>
          <w:rFonts w:ascii="Arial" w:hAnsi="Arial" w:cs="Arial"/>
          <w:sz w:val="32"/>
          <w:szCs w:val="32"/>
        </w:rPr>
      </w:pPr>
    </w:p>
    <w:p w:rsidR="00C1639D" w:rsidRPr="00E66DDC" w:rsidRDefault="00C1639D">
      <w:pPr>
        <w:rPr>
          <w:rFonts w:ascii="Arial" w:hAnsi="Arial" w:cs="Arial"/>
          <w:sz w:val="32"/>
          <w:szCs w:val="32"/>
        </w:rPr>
      </w:pPr>
    </w:p>
    <w:p w:rsidR="00C1639D" w:rsidRPr="00E66DDC" w:rsidRDefault="00C1639D">
      <w:pPr>
        <w:rPr>
          <w:rFonts w:ascii="Arial" w:hAnsi="Arial" w:cs="Arial"/>
          <w:sz w:val="32"/>
          <w:szCs w:val="32"/>
        </w:rPr>
      </w:pPr>
      <w:r w:rsidRPr="00E66DDC">
        <w:rPr>
          <w:rFonts w:ascii="Arial" w:hAnsi="Arial" w:cs="Arial"/>
          <w:sz w:val="32"/>
          <w:szCs w:val="32"/>
        </w:rPr>
        <w:t>Qui sont les justiciables ?</w:t>
      </w:r>
    </w:p>
    <w:p w:rsidR="00C1639D" w:rsidRPr="00E66DDC" w:rsidRDefault="00C1639D">
      <w:pPr>
        <w:rPr>
          <w:rFonts w:ascii="Arial" w:hAnsi="Arial" w:cs="Arial"/>
          <w:sz w:val="32"/>
          <w:szCs w:val="32"/>
        </w:rPr>
      </w:pPr>
      <w:r w:rsidRPr="00E66DDC">
        <w:rPr>
          <w:rFonts w:ascii="Arial" w:hAnsi="Arial" w:cs="Arial"/>
          <w:sz w:val="32"/>
          <w:szCs w:val="32"/>
        </w:rPr>
        <w:t xml:space="preserve">Membres des cabinets, fonctionnaires qu’ils soient ordonnateurs ou comptables. </w:t>
      </w:r>
    </w:p>
    <w:p w:rsidR="00C1639D" w:rsidRPr="00E66DDC" w:rsidRDefault="00C1639D">
      <w:pPr>
        <w:rPr>
          <w:rFonts w:ascii="Arial" w:hAnsi="Arial" w:cs="Arial"/>
          <w:sz w:val="32"/>
          <w:szCs w:val="32"/>
        </w:rPr>
      </w:pPr>
    </w:p>
    <w:p w:rsidR="00C1639D" w:rsidRPr="00E66DDC" w:rsidRDefault="00C1639D">
      <w:pPr>
        <w:rPr>
          <w:rFonts w:ascii="Arial" w:hAnsi="Arial" w:cs="Arial"/>
          <w:sz w:val="32"/>
          <w:szCs w:val="32"/>
        </w:rPr>
      </w:pPr>
      <w:r w:rsidRPr="00E66DDC">
        <w:rPr>
          <w:rFonts w:ascii="Arial" w:hAnsi="Arial" w:cs="Arial"/>
          <w:sz w:val="32"/>
          <w:szCs w:val="32"/>
        </w:rPr>
        <w:t>Qui sont exclus ?</w:t>
      </w:r>
    </w:p>
    <w:p w:rsidR="00C1639D" w:rsidRPr="00E66DDC" w:rsidRDefault="00C1639D" w:rsidP="00C1639D">
      <w:pPr>
        <w:jc w:val="both"/>
        <w:rPr>
          <w:rFonts w:ascii="Arial" w:hAnsi="Arial" w:cs="Arial"/>
          <w:sz w:val="32"/>
          <w:szCs w:val="32"/>
        </w:rPr>
      </w:pPr>
      <w:r w:rsidRPr="00E66DDC">
        <w:rPr>
          <w:rFonts w:ascii="Arial" w:hAnsi="Arial" w:cs="Arial"/>
          <w:sz w:val="32"/>
          <w:szCs w:val="32"/>
        </w:rPr>
        <w:t>Les membres du gouvernement, les exécutifs locaux y compris lorsqu’ils ont agi dans des fonctions qui sont l’accessoire obligé de leurs fonctions principales.</w:t>
      </w:r>
    </w:p>
    <w:p w:rsidR="00C1639D" w:rsidRPr="00E66DDC" w:rsidRDefault="00C1639D" w:rsidP="00C1639D">
      <w:pPr>
        <w:jc w:val="both"/>
        <w:rPr>
          <w:rFonts w:ascii="Arial" w:hAnsi="Arial" w:cs="Arial"/>
          <w:sz w:val="32"/>
          <w:szCs w:val="32"/>
        </w:rPr>
      </w:pPr>
      <w:r w:rsidRPr="00E66DDC">
        <w:rPr>
          <w:rFonts w:ascii="Arial" w:hAnsi="Arial" w:cs="Arial"/>
          <w:sz w:val="32"/>
          <w:szCs w:val="32"/>
        </w:rPr>
        <w:t xml:space="preserve">Les membres des cabinets, fonctionnaires lorsqu’ils ont agi sur instruction préalable de leur supérieur hiérarchique, sauf si l’instruction est illégale. Autre cas : si une délibération locale donne l’ordre </w:t>
      </w:r>
      <w:r w:rsidR="00444F99" w:rsidRPr="00E66DDC">
        <w:rPr>
          <w:rFonts w:ascii="Arial" w:hAnsi="Arial" w:cs="Arial"/>
          <w:sz w:val="32"/>
          <w:szCs w:val="32"/>
        </w:rPr>
        <w:t>de commettre l’infraction.</w:t>
      </w:r>
    </w:p>
    <w:p w:rsidR="00EF0A42" w:rsidRPr="00E66DDC" w:rsidRDefault="00EF0A42" w:rsidP="00C1639D">
      <w:pPr>
        <w:jc w:val="both"/>
        <w:rPr>
          <w:rFonts w:ascii="Arial" w:hAnsi="Arial" w:cs="Arial"/>
          <w:sz w:val="32"/>
          <w:szCs w:val="32"/>
        </w:rPr>
      </w:pPr>
    </w:p>
    <w:p w:rsidR="00EF0A42" w:rsidRPr="00E66DDC" w:rsidRDefault="00EF0A42" w:rsidP="00C1639D">
      <w:pPr>
        <w:jc w:val="both"/>
        <w:rPr>
          <w:rFonts w:ascii="Arial" w:hAnsi="Arial" w:cs="Arial"/>
          <w:sz w:val="32"/>
          <w:szCs w:val="32"/>
        </w:rPr>
      </w:pPr>
      <w:r w:rsidRPr="00E66DDC">
        <w:rPr>
          <w:rFonts w:ascii="Arial" w:hAnsi="Arial" w:cs="Arial"/>
          <w:sz w:val="32"/>
          <w:szCs w:val="32"/>
        </w:rPr>
        <w:t>Qui peut saisir ? Ou plus exactement déférer au PG près la Cour des comptes.</w:t>
      </w:r>
    </w:p>
    <w:p w:rsidR="00EF0A42" w:rsidRPr="00E66DDC" w:rsidRDefault="00EF0A42" w:rsidP="00C1639D">
      <w:pPr>
        <w:jc w:val="both"/>
        <w:rPr>
          <w:rFonts w:ascii="Arial" w:hAnsi="Arial" w:cs="Arial"/>
          <w:sz w:val="32"/>
          <w:szCs w:val="32"/>
        </w:rPr>
      </w:pPr>
      <w:r w:rsidRPr="00E66DDC">
        <w:rPr>
          <w:rFonts w:ascii="Arial" w:hAnsi="Arial" w:cs="Arial"/>
          <w:sz w:val="32"/>
          <w:szCs w:val="32"/>
        </w:rPr>
        <w:t>Les présidents des assemblées parlementaires.</w:t>
      </w:r>
    </w:p>
    <w:p w:rsidR="00EF0A42" w:rsidRPr="00E66DDC" w:rsidRDefault="00EF0A42" w:rsidP="00C1639D">
      <w:pPr>
        <w:jc w:val="both"/>
        <w:rPr>
          <w:rFonts w:ascii="Arial" w:hAnsi="Arial" w:cs="Arial"/>
          <w:sz w:val="32"/>
          <w:szCs w:val="32"/>
        </w:rPr>
      </w:pPr>
      <w:r w:rsidRPr="00E66DDC">
        <w:rPr>
          <w:rFonts w:ascii="Arial" w:hAnsi="Arial" w:cs="Arial"/>
          <w:sz w:val="32"/>
          <w:szCs w:val="32"/>
        </w:rPr>
        <w:t>Le Premier ministre, le ministre des Finances ou les ministres compétents.</w:t>
      </w:r>
    </w:p>
    <w:p w:rsidR="00EF0A42" w:rsidRPr="00E66DDC" w:rsidRDefault="00EF0A42" w:rsidP="00C1639D">
      <w:pPr>
        <w:jc w:val="both"/>
        <w:rPr>
          <w:rFonts w:ascii="Arial" w:hAnsi="Arial" w:cs="Arial"/>
          <w:sz w:val="32"/>
          <w:szCs w:val="32"/>
        </w:rPr>
      </w:pPr>
      <w:r w:rsidRPr="00E66DDC">
        <w:rPr>
          <w:rFonts w:ascii="Arial" w:hAnsi="Arial" w:cs="Arial"/>
          <w:sz w:val="32"/>
          <w:szCs w:val="32"/>
        </w:rPr>
        <w:t>La Cour et les CRTC.</w:t>
      </w:r>
    </w:p>
    <w:p w:rsidR="00EF0A42" w:rsidRPr="00E66DDC" w:rsidRDefault="00EF0A42" w:rsidP="00C1639D">
      <w:pPr>
        <w:jc w:val="both"/>
        <w:rPr>
          <w:rFonts w:ascii="Arial" w:hAnsi="Arial" w:cs="Arial"/>
          <w:sz w:val="32"/>
          <w:szCs w:val="32"/>
        </w:rPr>
      </w:pPr>
      <w:r w:rsidRPr="00E66DDC">
        <w:rPr>
          <w:rFonts w:ascii="Arial" w:hAnsi="Arial" w:cs="Arial"/>
          <w:sz w:val="32"/>
          <w:szCs w:val="32"/>
        </w:rPr>
        <w:t>Les procureurs de la République.</w:t>
      </w:r>
    </w:p>
    <w:p w:rsidR="00EF0A42" w:rsidRPr="00E66DDC" w:rsidRDefault="00EF0A42" w:rsidP="00C1639D">
      <w:pPr>
        <w:jc w:val="both"/>
        <w:rPr>
          <w:rFonts w:ascii="Arial" w:hAnsi="Arial" w:cs="Arial"/>
          <w:sz w:val="32"/>
          <w:szCs w:val="32"/>
        </w:rPr>
      </w:pPr>
      <w:r w:rsidRPr="00E66DDC">
        <w:rPr>
          <w:rFonts w:ascii="Arial" w:hAnsi="Arial" w:cs="Arial"/>
          <w:sz w:val="32"/>
          <w:szCs w:val="32"/>
        </w:rPr>
        <w:t>Le</w:t>
      </w:r>
      <w:r w:rsidR="00DC304D" w:rsidRPr="00E66DDC">
        <w:rPr>
          <w:rFonts w:ascii="Arial" w:hAnsi="Arial" w:cs="Arial"/>
          <w:sz w:val="32"/>
          <w:szCs w:val="32"/>
        </w:rPr>
        <w:t>s</w:t>
      </w:r>
      <w:r w:rsidRPr="00E66DDC">
        <w:rPr>
          <w:rFonts w:ascii="Arial" w:hAnsi="Arial" w:cs="Arial"/>
          <w:sz w:val="32"/>
          <w:szCs w:val="32"/>
        </w:rPr>
        <w:t xml:space="preserve"> préfet</w:t>
      </w:r>
      <w:r w:rsidR="00DC304D" w:rsidRPr="00E66DDC">
        <w:rPr>
          <w:rFonts w:ascii="Arial" w:hAnsi="Arial" w:cs="Arial"/>
          <w:sz w:val="32"/>
          <w:szCs w:val="32"/>
        </w:rPr>
        <w:t>s</w:t>
      </w:r>
      <w:r w:rsidRPr="00E66DDC">
        <w:rPr>
          <w:rFonts w:ascii="Arial" w:hAnsi="Arial" w:cs="Arial"/>
          <w:sz w:val="32"/>
          <w:szCs w:val="32"/>
        </w:rPr>
        <w:t xml:space="preserve"> ou le</w:t>
      </w:r>
      <w:r w:rsidR="00DC304D" w:rsidRPr="00E66DDC">
        <w:rPr>
          <w:rFonts w:ascii="Arial" w:hAnsi="Arial" w:cs="Arial"/>
          <w:sz w:val="32"/>
          <w:szCs w:val="32"/>
        </w:rPr>
        <w:t>s</w:t>
      </w:r>
      <w:r w:rsidRPr="00E66DDC">
        <w:rPr>
          <w:rFonts w:ascii="Arial" w:hAnsi="Arial" w:cs="Arial"/>
          <w:sz w:val="32"/>
          <w:szCs w:val="32"/>
        </w:rPr>
        <w:t xml:space="preserve"> Directeur</w:t>
      </w:r>
      <w:r w:rsidR="00DC304D" w:rsidRPr="00E66DDC">
        <w:rPr>
          <w:rFonts w:ascii="Arial" w:hAnsi="Arial" w:cs="Arial"/>
          <w:sz w:val="32"/>
          <w:szCs w:val="32"/>
        </w:rPr>
        <w:t>s</w:t>
      </w:r>
      <w:r w:rsidRPr="00E66DDC">
        <w:rPr>
          <w:rFonts w:ascii="Arial" w:hAnsi="Arial" w:cs="Arial"/>
          <w:sz w:val="32"/>
          <w:szCs w:val="32"/>
        </w:rPr>
        <w:t xml:space="preserve"> de la DGFIP pour d’autres que les ordonnateurs de l’État.</w:t>
      </w:r>
    </w:p>
    <w:p w:rsidR="00EF0A42" w:rsidRPr="00E66DDC" w:rsidRDefault="00EF0A42" w:rsidP="00C1639D">
      <w:pPr>
        <w:jc w:val="both"/>
        <w:rPr>
          <w:rFonts w:ascii="Arial" w:hAnsi="Arial" w:cs="Arial"/>
          <w:sz w:val="32"/>
          <w:szCs w:val="32"/>
        </w:rPr>
      </w:pPr>
      <w:r w:rsidRPr="00E66DDC">
        <w:rPr>
          <w:rFonts w:ascii="Arial" w:hAnsi="Arial" w:cs="Arial"/>
          <w:sz w:val="32"/>
          <w:szCs w:val="32"/>
        </w:rPr>
        <w:t>Les présidents de Régions, Départements, Maires</w:t>
      </w:r>
      <w:r w:rsidR="00DC304D" w:rsidRPr="00E66DDC">
        <w:rPr>
          <w:rFonts w:ascii="Arial" w:hAnsi="Arial" w:cs="Arial"/>
          <w:sz w:val="32"/>
          <w:szCs w:val="32"/>
        </w:rPr>
        <w:t xml:space="preserve"> ou élus locaux.</w:t>
      </w:r>
    </w:p>
    <w:p w:rsidR="00D563F9" w:rsidRPr="00E66DDC" w:rsidRDefault="00D563F9" w:rsidP="00C1639D">
      <w:pPr>
        <w:jc w:val="both"/>
        <w:rPr>
          <w:rFonts w:ascii="Arial" w:hAnsi="Arial" w:cs="Arial"/>
          <w:sz w:val="32"/>
          <w:szCs w:val="32"/>
        </w:rPr>
      </w:pPr>
      <w:r w:rsidRPr="00E66DDC">
        <w:rPr>
          <w:rFonts w:ascii="Arial" w:hAnsi="Arial" w:cs="Arial"/>
          <w:sz w:val="32"/>
          <w:szCs w:val="32"/>
        </w:rPr>
        <w:t>Les chefs de service des inspections, IGF, IGA, IGAS, inspections ministérielles.</w:t>
      </w:r>
    </w:p>
    <w:p w:rsidR="00D563F9" w:rsidRPr="00E66DDC" w:rsidRDefault="00D563F9" w:rsidP="00C1639D">
      <w:pPr>
        <w:jc w:val="both"/>
        <w:rPr>
          <w:rFonts w:ascii="Arial" w:hAnsi="Arial" w:cs="Arial"/>
          <w:sz w:val="32"/>
          <w:szCs w:val="32"/>
        </w:rPr>
      </w:pPr>
      <w:r w:rsidRPr="00E66DDC">
        <w:rPr>
          <w:rFonts w:ascii="Arial" w:hAnsi="Arial" w:cs="Arial"/>
          <w:sz w:val="32"/>
          <w:szCs w:val="32"/>
        </w:rPr>
        <w:t>Les commissaires aux comptes.</w:t>
      </w:r>
    </w:p>
    <w:p w:rsidR="00D563F9" w:rsidRPr="00E66DDC" w:rsidRDefault="00D563F9" w:rsidP="00C1639D">
      <w:pPr>
        <w:jc w:val="both"/>
        <w:rPr>
          <w:rFonts w:ascii="Arial" w:hAnsi="Arial" w:cs="Arial"/>
          <w:sz w:val="32"/>
          <w:szCs w:val="32"/>
        </w:rPr>
      </w:pPr>
      <w:r w:rsidRPr="00E66DDC">
        <w:rPr>
          <w:rFonts w:ascii="Arial" w:hAnsi="Arial" w:cs="Arial"/>
          <w:sz w:val="32"/>
          <w:szCs w:val="32"/>
        </w:rPr>
        <w:t>Tout justiciable victime de défaut d’exécution d’une décision de justice.</w:t>
      </w:r>
    </w:p>
    <w:p w:rsidR="00DC304D" w:rsidRPr="00E66DDC" w:rsidRDefault="00DC304D" w:rsidP="00C1639D">
      <w:pPr>
        <w:jc w:val="both"/>
        <w:rPr>
          <w:rFonts w:ascii="Arial" w:hAnsi="Arial" w:cs="Arial"/>
          <w:sz w:val="32"/>
          <w:szCs w:val="32"/>
        </w:rPr>
      </w:pPr>
      <w:r w:rsidRPr="00E66DDC">
        <w:rPr>
          <w:rFonts w:ascii="Arial" w:hAnsi="Arial" w:cs="Arial"/>
          <w:sz w:val="32"/>
          <w:szCs w:val="32"/>
        </w:rPr>
        <w:t xml:space="preserve">Le délai de saisine est de 5 ans sauf 10 ans pour la gestion de fait. </w:t>
      </w:r>
    </w:p>
    <w:p w:rsidR="00EF0A42" w:rsidRPr="00E66DDC" w:rsidRDefault="00EF0A42" w:rsidP="00C1639D">
      <w:pPr>
        <w:jc w:val="both"/>
        <w:rPr>
          <w:rFonts w:ascii="Arial" w:hAnsi="Arial" w:cs="Arial"/>
          <w:sz w:val="32"/>
          <w:szCs w:val="32"/>
        </w:rPr>
      </w:pPr>
    </w:p>
    <w:p w:rsidR="00444F99" w:rsidRPr="00E66DDC" w:rsidRDefault="00444F99" w:rsidP="00C1639D">
      <w:pPr>
        <w:jc w:val="both"/>
        <w:rPr>
          <w:rFonts w:ascii="Arial" w:hAnsi="Arial" w:cs="Arial"/>
          <w:sz w:val="32"/>
          <w:szCs w:val="32"/>
        </w:rPr>
      </w:pPr>
    </w:p>
    <w:p w:rsidR="00444F99" w:rsidRPr="00E66DDC" w:rsidRDefault="00444F99" w:rsidP="00C1639D">
      <w:pPr>
        <w:jc w:val="both"/>
        <w:rPr>
          <w:rFonts w:ascii="Arial" w:hAnsi="Arial" w:cs="Arial"/>
          <w:sz w:val="32"/>
          <w:szCs w:val="32"/>
        </w:rPr>
      </w:pPr>
      <w:r w:rsidRPr="00E66DDC">
        <w:rPr>
          <w:rFonts w:ascii="Arial" w:hAnsi="Arial" w:cs="Arial"/>
          <w:sz w:val="32"/>
          <w:szCs w:val="32"/>
        </w:rPr>
        <w:t xml:space="preserve">Quelles sont les infractions ? </w:t>
      </w:r>
    </w:p>
    <w:p w:rsidR="00444F99" w:rsidRPr="00E66DDC" w:rsidRDefault="00444F99" w:rsidP="00C1639D">
      <w:pPr>
        <w:jc w:val="both"/>
        <w:rPr>
          <w:rFonts w:ascii="Arial" w:hAnsi="Arial" w:cs="Arial"/>
          <w:sz w:val="32"/>
          <w:szCs w:val="32"/>
        </w:rPr>
      </w:pPr>
      <w:r w:rsidRPr="00E66DDC">
        <w:rPr>
          <w:rFonts w:ascii="Arial" w:hAnsi="Arial" w:cs="Arial"/>
          <w:sz w:val="32"/>
          <w:szCs w:val="32"/>
        </w:rPr>
        <w:t xml:space="preserve">-Faute grave dans l’exécution des recettes et des dépenses ou des biens des personnes publiques ayant entraîné un préjudice financier significatif. Le caractère significatif est apprécié en comparant le montant du préjudice avec le budget de la personne publique concernée ou du service concerné. </w:t>
      </w:r>
    </w:p>
    <w:p w:rsidR="00444F99" w:rsidRPr="00E66DDC" w:rsidRDefault="00444F99" w:rsidP="00C1639D">
      <w:pPr>
        <w:jc w:val="both"/>
        <w:rPr>
          <w:rFonts w:ascii="Arial" w:hAnsi="Arial" w:cs="Arial"/>
          <w:sz w:val="32"/>
          <w:szCs w:val="32"/>
        </w:rPr>
      </w:pPr>
      <w:r w:rsidRPr="00E66DDC">
        <w:rPr>
          <w:rFonts w:ascii="Arial" w:hAnsi="Arial" w:cs="Arial"/>
          <w:sz w:val="32"/>
          <w:szCs w:val="32"/>
        </w:rPr>
        <w:t xml:space="preserve">-Fait de faire échec à une procédure de mandatement d’office. </w:t>
      </w:r>
    </w:p>
    <w:p w:rsidR="00444F99" w:rsidRPr="00E66DDC" w:rsidRDefault="00444F99" w:rsidP="00C1639D">
      <w:pPr>
        <w:jc w:val="both"/>
        <w:rPr>
          <w:rFonts w:ascii="Arial" w:hAnsi="Arial" w:cs="Arial"/>
          <w:sz w:val="32"/>
          <w:szCs w:val="32"/>
        </w:rPr>
      </w:pPr>
      <w:r w:rsidRPr="00E66DDC">
        <w:rPr>
          <w:rFonts w:ascii="Arial" w:hAnsi="Arial" w:cs="Arial"/>
          <w:sz w:val="32"/>
          <w:szCs w:val="32"/>
        </w:rPr>
        <w:t>-Procurer un avantage injustifié à soi-même ou à autrui</w:t>
      </w:r>
    </w:p>
    <w:p w:rsidR="00EF0A42" w:rsidRPr="00E66DDC" w:rsidRDefault="00EF0A42" w:rsidP="00C1639D">
      <w:pPr>
        <w:jc w:val="both"/>
        <w:rPr>
          <w:rFonts w:ascii="Arial" w:hAnsi="Arial" w:cs="Arial"/>
          <w:sz w:val="32"/>
          <w:szCs w:val="32"/>
        </w:rPr>
      </w:pPr>
      <w:r w:rsidRPr="00E66DDC">
        <w:rPr>
          <w:rFonts w:ascii="Arial" w:hAnsi="Arial" w:cs="Arial"/>
          <w:sz w:val="32"/>
          <w:szCs w:val="32"/>
        </w:rPr>
        <w:t>-Gestion de fait</w:t>
      </w:r>
    </w:p>
    <w:p w:rsidR="00EA1E8C" w:rsidRPr="00E66DDC" w:rsidRDefault="00EA1E8C" w:rsidP="00C1639D">
      <w:pPr>
        <w:jc w:val="both"/>
        <w:rPr>
          <w:rFonts w:ascii="Arial" w:hAnsi="Arial" w:cs="Arial"/>
          <w:sz w:val="32"/>
          <w:szCs w:val="32"/>
        </w:rPr>
      </w:pPr>
      <w:r w:rsidRPr="00E66DDC">
        <w:rPr>
          <w:rFonts w:ascii="Arial" w:hAnsi="Arial" w:cs="Arial"/>
          <w:sz w:val="32"/>
          <w:szCs w:val="32"/>
        </w:rPr>
        <w:t>Sanction = Amende de 6 mois de traitement (directeur d’administration centrale)</w:t>
      </w:r>
    </w:p>
    <w:p w:rsidR="00EF0A42" w:rsidRPr="00E66DDC" w:rsidRDefault="00EF0A42" w:rsidP="00C1639D">
      <w:pPr>
        <w:jc w:val="both"/>
        <w:rPr>
          <w:rFonts w:ascii="Arial" w:hAnsi="Arial" w:cs="Arial"/>
          <w:sz w:val="32"/>
          <w:szCs w:val="32"/>
        </w:rPr>
      </w:pPr>
      <w:r w:rsidRPr="00E66DDC">
        <w:rPr>
          <w:rFonts w:ascii="Arial" w:hAnsi="Arial" w:cs="Arial"/>
          <w:sz w:val="32"/>
          <w:szCs w:val="32"/>
        </w:rPr>
        <w:t xml:space="preserve">Important : le produit des amendes est encaissé par le budget de l’État. </w:t>
      </w:r>
    </w:p>
    <w:p w:rsidR="00EF0A42" w:rsidRPr="00E66DDC" w:rsidRDefault="00EF0A42" w:rsidP="00C1639D">
      <w:pPr>
        <w:jc w:val="both"/>
        <w:rPr>
          <w:rFonts w:ascii="Arial" w:hAnsi="Arial" w:cs="Arial"/>
          <w:sz w:val="32"/>
          <w:szCs w:val="32"/>
        </w:rPr>
      </w:pPr>
    </w:p>
    <w:p w:rsidR="00444F99" w:rsidRPr="00E66DDC" w:rsidRDefault="00444F99" w:rsidP="00C1639D">
      <w:pPr>
        <w:jc w:val="both"/>
        <w:rPr>
          <w:rFonts w:ascii="Arial" w:hAnsi="Arial" w:cs="Arial"/>
          <w:sz w:val="32"/>
          <w:szCs w:val="32"/>
        </w:rPr>
      </w:pPr>
    </w:p>
    <w:p w:rsidR="00444F99" w:rsidRPr="00E66DDC" w:rsidRDefault="00444F99" w:rsidP="00C1639D">
      <w:pPr>
        <w:jc w:val="both"/>
        <w:rPr>
          <w:rFonts w:ascii="Arial" w:hAnsi="Arial" w:cs="Arial"/>
          <w:sz w:val="32"/>
          <w:szCs w:val="32"/>
        </w:rPr>
      </w:pPr>
      <w:r w:rsidRPr="00E66DDC">
        <w:rPr>
          <w:rFonts w:ascii="Arial" w:hAnsi="Arial" w:cs="Arial"/>
          <w:sz w:val="32"/>
          <w:szCs w:val="32"/>
        </w:rPr>
        <w:t>Petites infractions ?</w:t>
      </w:r>
    </w:p>
    <w:p w:rsidR="00444F99" w:rsidRPr="00E66DDC" w:rsidRDefault="00444F99" w:rsidP="00C1639D">
      <w:pPr>
        <w:jc w:val="both"/>
        <w:rPr>
          <w:rFonts w:ascii="Arial" w:hAnsi="Arial" w:cs="Arial"/>
          <w:sz w:val="32"/>
          <w:szCs w:val="32"/>
        </w:rPr>
      </w:pPr>
      <w:r w:rsidRPr="00E66DDC">
        <w:rPr>
          <w:rFonts w:ascii="Arial" w:hAnsi="Arial" w:cs="Arial"/>
          <w:sz w:val="32"/>
          <w:szCs w:val="32"/>
        </w:rPr>
        <w:t>Non production des comptes.</w:t>
      </w:r>
    </w:p>
    <w:p w:rsidR="00444F99" w:rsidRPr="00E66DDC" w:rsidRDefault="00444F99" w:rsidP="00C1639D">
      <w:pPr>
        <w:jc w:val="both"/>
        <w:rPr>
          <w:rFonts w:ascii="Arial" w:hAnsi="Arial" w:cs="Arial"/>
          <w:sz w:val="32"/>
          <w:szCs w:val="32"/>
        </w:rPr>
      </w:pPr>
      <w:r w:rsidRPr="00E66DDC">
        <w:rPr>
          <w:rFonts w:ascii="Arial" w:hAnsi="Arial" w:cs="Arial"/>
          <w:sz w:val="32"/>
          <w:szCs w:val="32"/>
        </w:rPr>
        <w:t>Engagement d’une dépense sans respecter les règles de</w:t>
      </w:r>
      <w:r w:rsidR="00EA1E8C" w:rsidRPr="00E66DDC">
        <w:rPr>
          <w:rFonts w:ascii="Arial" w:hAnsi="Arial" w:cs="Arial"/>
          <w:sz w:val="32"/>
          <w:szCs w:val="32"/>
        </w:rPr>
        <w:t xml:space="preserve"> contrôle budgétaire.</w:t>
      </w:r>
    </w:p>
    <w:p w:rsidR="00444F99" w:rsidRPr="00E66DDC" w:rsidRDefault="00EA1E8C" w:rsidP="00C1639D">
      <w:pPr>
        <w:jc w:val="both"/>
        <w:rPr>
          <w:rFonts w:ascii="Arial" w:hAnsi="Arial" w:cs="Arial"/>
          <w:sz w:val="32"/>
          <w:szCs w:val="32"/>
        </w:rPr>
      </w:pPr>
      <w:r w:rsidRPr="00E66DDC">
        <w:rPr>
          <w:rFonts w:ascii="Arial" w:hAnsi="Arial" w:cs="Arial"/>
          <w:sz w:val="32"/>
          <w:szCs w:val="32"/>
        </w:rPr>
        <w:t>Engagement d’une dépense sans en avoir reçu délégation.</w:t>
      </w:r>
    </w:p>
    <w:p w:rsidR="00EA1E8C" w:rsidRPr="00E66DDC" w:rsidRDefault="00EA1E8C" w:rsidP="00C1639D">
      <w:pPr>
        <w:jc w:val="both"/>
        <w:rPr>
          <w:rFonts w:ascii="Arial" w:hAnsi="Arial" w:cs="Arial"/>
          <w:sz w:val="32"/>
          <w:szCs w:val="32"/>
        </w:rPr>
      </w:pPr>
      <w:r w:rsidRPr="00E66DDC">
        <w:rPr>
          <w:rFonts w:ascii="Arial" w:hAnsi="Arial" w:cs="Arial"/>
          <w:sz w:val="32"/>
          <w:szCs w:val="32"/>
        </w:rPr>
        <w:t>Sanction = Amende d’1 mois de traitement</w:t>
      </w:r>
    </w:p>
    <w:p w:rsidR="00EF0A42" w:rsidRPr="00E66DDC" w:rsidRDefault="00EF0A42" w:rsidP="00C1639D">
      <w:pPr>
        <w:jc w:val="both"/>
        <w:rPr>
          <w:rFonts w:ascii="Arial" w:hAnsi="Arial" w:cs="Arial"/>
          <w:sz w:val="32"/>
          <w:szCs w:val="32"/>
        </w:rPr>
      </w:pPr>
    </w:p>
    <w:p w:rsidR="00EF0A42" w:rsidRPr="00E66DDC" w:rsidRDefault="00EF0A42" w:rsidP="00C1639D">
      <w:pPr>
        <w:jc w:val="both"/>
        <w:rPr>
          <w:rFonts w:ascii="Arial" w:hAnsi="Arial" w:cs="Arial"/>
          <w:sz w:val="32"/>
          <w:szCs w:val="32"/>
        </w:rPr>
      </w:pPr>
      <w:r w:rsidRPr="00E66DDC">
        <w:rPr>
          <w:rFonts w:ascii="Arial" w:hAnsi="Arial" w:cs="Arial"/>
          <w:sz w:val="32"/>
          <w:szCs w:val="32"/>
        </w:rPr>
        <w:t>Qui est la juridiction compétente ?</w:t>
      </w:r>
    </w:p>
    <w:p w:rsidR="00EF0A42" w:rsidRPr="00E66DDC" w:rsidRDefault="00EF0A42" w:rsidP="00C1639D">
      <w:pPr>
        <w:jc w:val="both"/>
        <w:rPr>
          <w:rFonts w:ascii="Arial" w:hAnsi="Arial" w:cs="Arial"/>
          <w:sz w:val="32"/>
          <w:szCs w:val="32"/>
        </w:rPr>
      </w:pPr>
      <w:r w:rsidRPr="00E66DDC">
        <w:rPr>
          <w:rFonts w:ascii="Arial" w:hAnsi="Arial" w:cs="Arial"/>
          <w:sz w:val="32"/>
          <w:szCs w:val="32"/>
        </w:rPr>
        <w:t>La chambre du contentieux de la Cour des comptes.</w:t>
      </w:r>
    </w:p>
    <w:p w:rsidR="00EF0A42" w:rsidRPr="00E66DDC" w:rsidRDefault="00EF0A42" w:rsidP="00C1639D">
      <w:pPr>
        <w:jc w:val="both"/>
        <w:rPr>
          <w:rFonts w:ascii="Arial" w:hAnsi="Arial" w:cs="Arial"/>
          <w:sz w:val="32"/>
          <w:szCs w:val="32"/>
        </w:rPr>
      </w:pPr>
      <w:r w:rsidRPr="00E66DDC">
        <w:rPr>
          <w:rFonts w:ascii="Arial" w:hAnsi="Arial" w:cs="Arial"/>
          <w:sz w:val="32"/>
          <w:szCs w:val="32"/>
        </w:rPr>
        <w:t>C’est la 7</w:t>
      </w:r>
      <w:r w:rsidRPr="00E66DDC">
        <w:rPr>
          <w:rFonts w:ascii="Arial" w:hAnsi="Arial" w:cs="Arial"/>
          <w:sz w:val="32"/>
          <w:szCs w:val="32"/>
          <w:vertAlign w:val="superscript"/>
        </w:rPr>
        <w:t>ème</w:t>
      </w:r>
      <w:r w:rsidRPr="00E66DDC">
        <w:rPr>
          <w:rFonts w:ascii="Arial" w:hAnsi="Arial" w:cs="Arial"/>
          <w:sz w:val="32"/>
          <w:szCs w:val="32"/>
        </w:rPr>
        <w:t xml:space="preserve"> chambre de la Cour.</w:t>
      </w:r>
    </w:p>
    <w:p w:rsidR="00EF0A42" w:rsidRPr="00E66DDC" w:rsidRDefault="00EF0A42" w:rsidP="00C1639D">
      <w:pPr>
        <w:jc w:val="both"/>
        <w:rPr>
          <w:rFonts w:ascii="Arial" w:hAnsi="Arial" w:cs="Arial"/>
          <w:sz w:val="32"/>
          <w:szCs w:val="32"/>
        </w:rPr>
      </w:pPr>
      <w:r w:rsidRPr="00E66DDC">
        <w:rPr>
          <w:rFonts w:ascii="Arial" w:hAnsi="Arial" w:cs="Arial"/>
          <w:sz w:val="32"/>
          <w:szCs w:val="32"/>
        </w:rPr>
        <w:t xml:space="preserve">Elle est </w:t>
      </w:r>
      <w:proofErr w:type="gramStart"/>
      <w:r w:rsidRPr="00E66DDC">
        <w:rPr>
          <w:rFonts w:ascii="Arial" w:hAnsi="Arial" w:cs="Arial"/>
          <w:sz w:val="32"/>
          <w:szCs w:val="32"/>
        </w:rPr>
        <w:t>composé</w:t>
      </w:r>
      <w:proofErr w:type="gramEnd"/>
      <w:r w:rsidRPr="00E66DDC">
        <w:rPr>
          <w:rFonts w:ascii="Arial" w:hAnsi="Arial" w:cs="Arial"/>
          <w:sz w:val="32"/>
          <w:szCs w:val="32"/>
        </w:rPr>
        <w:t xml:space="preserve"> de magistrats de la Cour et des CRC. </w:t>
      </w:r>
    </w:p>
    <w:p w:rsidR="00EF0A42" w:rsidRPr="00E66DDC" w:rsidRDefault="00EF0A42" w:rsidP="00C1639D">
      <w:pPr>
        <w:jc w:val="both"/>
        <w:rPr>
          <w:rFonts w:ascii="Arial" w:hAnsi="Arial" w:cs="Arial"/>
          <w:sz w:val="32"/>
          <w:szCs w:val="32"/>
        </w:rPr>
      </w:pPr>
    </w:p>
    <w:p w:rsidR="00EF0A42" w:rsidRPr="00E66DDC" w:rsidRDefault="00EF0A42" w:rsidP="00C1639D">
      <w:pPr>
        <w:jc w:val="both"/>
        <w:rPr>
          <w:rFonts w:ascii="Arial" w:hAnsi="Arial" w:cs="Arial"/>
          <w:sz w:val="32"/>
          <w:szCs w:val="32"/>
        </w:rPr>
      </w:pPr>
      <w:r w:rsidRPr="00E66DDC">
        <w:rPr>
          <w:rFonts w:ascii="Arial" w:hAnsi="Arial" w:cs="Arial"/>
          <w:sz w:val="32"/>
          <w:szCs w:val="32"/>
        </w:rPr>
        <w:t>Quelles voies de recours ?</w:t>
      </w:r>
    </w:p>
    <w:p w:rsidR="00EF0A42" w:rsidRPr="00E66DDC" w:rsidRDefault="00EF0A42" w:rsidP="00C1639D">
      <w:pPr>
        <w:jc w:val="both"/>
        <w:rPr>
          <w:rFonts w:ascii="Arial" w:hAnsi="Arial" w:cs="Arial"/>
          <w:sz w:val="32"/>
          <w:szCs w:val="32"/>
        </w:rPr>
      </w:pPr>
      <w:r w:rsidRPr="00E66DDC">
        <w:rPr>
          <w:rFonts w:ascii="Arial" w:hAnsi="Arial" w:cs="Arial"/>
          <w:sz w:val="32"/>
          <w:szCs w:val="32"/>
        </w:rPr>
        <w:t xml:space="preserve">Appel devant la </w:t>
      </w:r>
      <w:r w:rsidR="00DC304D" w:rsidRPr="00E66DDC">
        <w:rPr>
          <w:rFonts w:ascii="Arial" w:hAnsi="Arial" w:cs="Arial"/>
          <w:sz w:val="32"/>
          <w:szCs w:val="32"/>
        </w:rPr>
        <w:t>Cour d’appel financière (4+4+2)</w:t>
      </w:r>
    </w:p>
    <w:p w:rsidR="00EF0A42" w:rsidRPr="00E66DDC" w:rsidRDefault="00EF0A42" w:rsidP="00C1639D">
      <w:pPr>
        <w:jc w:val="both"/>
        <w:rPr>
          <w:rFonts w:ascii="Arial" w:hAnsi="Arial" w:cs="Arial"/>
          <w:sz w:val="32"/>
          <w:szCs w:val="32"/>
        </w:rPr>
      </w:pPr>
      <w:r w:rsidRPr="00E66DDC">
        <w:rPr>
          <w:rFonts w:ascii="Arial" w:hAnsi="Arial" w:cs="Arial"/>
          <w:sz w:val="32"/>
          <w:szCs w:val="32"/>
        </w:rPr>
        <w:t>Cassation devant le Conseil d’État.</w:t>
      </w:r>
    </w:p>
    <w:sectPr w:rsidR="00EF0A42" w:rsidRPr="00E66DDC" w:rsidSect="00F664F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0FBF" w:rsidRDefault="00F90FBF" w:rsidP="00EA1E8C">
      <w:r>
        <w:separator/>
      </w:r>
    </w:p>
  </w:endnote>
  <w:endnote w:type="continuationSeparator" w:id="0">
    <w:p w:rsidR="00F90FBF" w:rsidRDefault="00F90FBF" w:rsidP="00EA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0FBF" w:rsidRDefault="00F90FBF" w:rsidP="00EA1E8C">
      <w:r>
        <w:separator/>
      </w:r>
    </w:p>
  </w:footnote>
  <w:footnote w:type="continuationSeparator" w:id="0">
    <w:p w:rsidR="00F90FBF" w:rsidRDefault="00F90FBF" w:rsidP="00EA1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9D"/>
    <w:rsid w:val="00283A14"/>
    <w:rsid w:val="00305136"/>
    <w:rsid w:val="00305C48"/>
    <w:rsid w:val="00444F99"/>
    <w:rsid w:val="00505086"/>
    <w:rsid w:val="00C1639D"/>
    <w:rsid w:val="00D12AE0"/>
    <w:rsid w:val="00D563F9"/>
    <w:rsid w:val="00DC304D"/>
    <w:rsid w:val="00E66DDC"/>
    <w:rsid w:val="00EA1E8C"/>
    <w:rsid w:val="00EF0A42"/>
    <w:rsid w:val="00F664F1"/>
    <w:rsid w:val="00F90F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794FE1B"/>
  <w15:chartTrackingRefBased/>
  <w15:docId w15:val="{0C38DB8A-37E5-2440-BFE1-C52645F0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A1E8C"/>
    <w:rPr>
      <w:sz w:val="20"/>
      <w:szCs w:val="20"/>
    </w:rPr>
  </w:style>
  <w:style w:type="character" w:customStyle="1" w:styleId="NotedebasdepageCar">
    <w:name w:val="Note de bas de page Car"/>
    <w:basedOn w:val="Policepardfaut"/>
    <w:link w:val="Notedebasdepage"/>
    <w:uiPriority w:val="99"/>
    <w:semiHidden/>
    <w:rsid w:val="00EA1E8C"/>
    <w:rPr>
      <w:sz w:val="20"/>
      <w:szCs w:val="20"/>
    </w:rPr>
  </w:style>
  <w:style w:type="character" w:styleId="Appelnotedebasdep">
    <w:name w:val="footnote reference"/>
    <w:basedOn w:val="Policepardfaut"/>
    <w:uiPriority w:val="99"/>
    <w:semiHidden/>
    <w:unhideWhenUsed/>
    <w:rsid w:val="00EA1E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383</Words>
  <Characters>2108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1</cp:revision>
  <cp:lastPrinted>2023-03-20T15:56:00Z</cp:lastPrinted>
  <dcterms:created xsi:type="dcterms:W3CDTF">2023-03-20T11:40:00Z</dcterms:created>
  <dcterms:modified xsi:type="dcterms:W3CDTF">2023-03-20T20:04:00Z</dcterms:modified>
</cp:coreProperties>
</file>