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6476B" w14:textId="74516B5B" w:rsidR="00224EF8" w:rsidRDefault="007655F7" w:rsidP="007655F7">
      <w:pPr>
        <w:pStyle w:val="Titre1"/>
      </w:pPr>
      <w:r>
        <w:t xml:space="preserve">Leçon 5 – La TVA </w:t>
      </w:r>
    </w:p>
    <w:p w14:paraId="72906F73" w14:textId="2A109679" w:rsidR="007655F7" w:rsidRDefault="007655F7" w:rsidP="00D87839"/>
    <w:p w14:paraId="44B4E8FC" w14:textId="0E1B3057" w:rsidR="007655F7" w:rsidRDefault="007655F7" w:rsidP="007655F7">
      <w:r w:rsidRPr="00796493">
        <w:t xml:space="preserve">La TVA a été inventée par un Français </w:t>
      </w:r>
      <w:r w:rsidRPr="007655F7">
        <w:rPr>
          <w:b/>
          <w:bCs/>
          <w:color w:val="832C6B"/>
        </w:rPr>
        <w:t>Maurice LAURÉ</w:t>
      </w:r>
      <w:r>
        <w:t xml:space="preserve"> dans le but de créer un impôt moderne permettant de taxer la consommation à un moment où la croissance transformait la France en une société de consommation. Maurice LAURÉ fait partie des rares personnes à être passé à la fois par l’ENA et Polytechnique. Raymond ARON disait que c’était un génie. A l’âge de 35 ans, il a publié, en 1952, son livre sur la TVA. Avant la TVA, les impôts indirects n’étaient pas opérationnels et présentaient plusieurs inconvénients. Cet ancien système avait même causé l’une des plus grosses révolutions fiscales de notre pays en juillet 1953 avec Pierre POUJADE papetier libraire à St Céré dans le Lot qui a créé le CID-UNATI.</w:t>
      </w:r>
    </w:p>
    <w:p w14:paraId="197F5C9E" w14:textId="39F6A46F" w:rsidR="007655F7" w:rsidRPr="00796493" w:rsidRDefault="007655F7" w:rsidP="007655F7">
      <w:r w:rsidRPr="00796493">
        <w:t>Avant la TVA,</w:t>
      </w:r>
      <w:r>
        <w:t xml:space="preserve"> </w:t>
      </w:r>
      <w:r w:rsidR="007A1928">
        <w:t>il existait</w:t>
      </w:r>
      <w:r w:rsidRPr="00796493">
        <w:t xml:space="preserve"> d’autres impôts indirects. Ainsi, pendant la première guerre mondiale, on a </w:t>
      </w:r>
      <w:r w:rsidRPr="0043449F">
        <w:rPr>
          <w:b/>
          <w:bCs/>
          <w:color w:val="832C6B"/>
        </w:rPr>
        <w:t>créé en 1917</w:t>
      </w:r>
      <w:r w:rsidRPr="00796493">
        <w:t xml:space="preserve"> la taxe sur les paiements qui alourdissait le prix des biens et services pour rapporter de l’argent à l’État pour financer la guerre. Mais comme il y avait beaucoup de fraude, on a décidé </w:t>
      </w:r>
      <w:r w:rsidRPr="0043449F">
        <w:rPr>
          <w:b/>
          <w:bCs/>
          <w:color w:val="832C6B"/>
        </w:rPr>
        <w:t>d’adapter le système en 1920</w:t>
      </w:r>
      <w:r w:rsidRPr="00796493">
        <w:t xml:space="preserve"> avec la taxe sur le chiffre d’affaires. En apparence, ce système était meilleur car il n’y avait plus de fraude mais dans la réalité, on avait créé un système de taxe</w:t>
      </w:r>
      <w:r>
        <w:t>s</w:t>
      </w:r>
      <w:r w:rsidRPr="00796493">
        <w:t xml:space="preserve"> en cascade. </w:t>
      </w:r>
    </w:p>
    <w:p w14:paraId="065C8F2E" w14:textId="77777777" w:rsidR="0065019C" w:rsidRDefault="007655F7" w:rsidP="0065019C">
      <w:pPr>
        <w:pStyle w:val="Exemple"/>
      </w:pPr>
      <w:r w:rsidRPr="00796493">
        <w:t>Un grossiste va acheter de la matière première qui va coûter 100, mais comme la taxe sur le CA est de 10%, il devra payer 110.</w:t>
      </w:r>
      <w:r>
        <w:t xml:space="preserve"> </w:t>
      </w:r>
      <w:r w:rsidRPr="00796493">
        <w:t>100 seront versés au producteur et 10 au Trésor public. Ensuite, le grossiste va revendre le produit à des détaillants, mais comme il a payé des impôts,</w:t>
      </w:r>
      <w:r>
        <w:t xml:space="preserve"> et</w:t>
      </w:r>
      <w:r w:rsidRPr="00796493">
        <w:t xml:space="preserve"> qu</w:t>
      </w:r>
      <w:r>
        <w:t>’il a des frais et qu’il veut</w:t>
      </w:r>
      <w:r w:rsidRPr="00796493">
        <w:t xml:space="preserve"> faire une marge, il va revendre 210. </w:t>
      </w:r>
      <w:r>
        <w:br/>
      </w:r>
      <w:r w:rsidRPr="00796493">
        <w:t>Il a ajouté 100 de plu</w:t>
      </w:r>
      <w:r>
        <w:t>s,</w:t>
      </w:r>
      <w:r w:rsidRPr="00796493">
        <w:t xml:space="preserve"> ce qui a doublé le prix de la matière première.</w:t>
      </w:r>
      <w:r>
        <w:t xml:space="preserve"> Mais le grossiste devra payer l</w:t>
      </w:r>
      <w:r w:rsidRPr="00796493">
        <w:t>a taxe sur le CA qui est de 10%, ce qui fait 21 à verser au Trésor public. En fin de cycle, le détaillant va vendre le produit au consommateur final. Mais comme le détaillant a payé 231, il ve</w:t>
      </w:r>
      <w:r>
        <w:t>ut couvrir ses frais et faire une</w:t>
      </w:r>
      <w:r w:rsidRPr="00796493">
        <w:t xml:space="preserve"> marge. Il va donc rajouter 100 ce qui porte le prix à 331. Mais cette somme payée par le consommateur donnera lieu au paiement de la taxe sur le CA à hauteur de 10% soit 33,10. Chaque commerçant a payé sa taxe de 10% sur le chiffre d’affaires mais regardons combien l’opération a rapporté au Trésor public ? </w:t>
      </w:r>
    </w:p>
    <w:p w14:paraId="4AE457D8" w14:textId="428513FC" w:rsidR="007655F7" w:rsidRDefault="007655F7" w:rsidP="0065019C">
      <w:pPr>
        <w:pStyle w:val="Exemple"/>
      </w:pPr>
      <w:r w:rsidRPr="00796493">
        <w:t>Le grossiste a payé 10 sur une base de 10</w:t>
      </w:r>
      <w:r>
        <w:t>0.</w:t>
      </w:r>
      <w:r>
        <w:br/>
      </w:r>
      <w:r w:rsidRPr="00796493">
        <w:t>Le détaillant a payé 21 sur une base de 210</w:t>
      </w:r>
      <w:r>
        <w:t>.</w:t>
      </w:r>
      <w:r>
        <w:br/>
        <w:t>Le consommateur final</w:t>
      </w:r>
      <w:r w:rsidRPr="00796493">
        <w:t xml:space="preserve"> va payer 33,10 sur une base de 331</w:t>
      </w:r>
      <w:r>
        <w:t>.</w:t>
      </w:r>
      <w:r>
        <w:br/>
      </w:r>
      <w:r w:rsidRPr="00796493">
        <w:t xml:space="preserve">Total = 64,10 </w:t>
      </w:r>
      <w:r>
        <w:t>€.</w:t>
      </w:r>
    </w:p>
    <w:p w14:paraId="7A98B808" w14:textId="51AC56AE" w:rsidR="007655F7" w:rsidRDefault="007655F7" w:rsidP="007655F7">
      <w:r>
        <w:t>64,10 € est une somme</w:t>
      </w:r>
      <w:r w:rsidRPr="00796493">
        <w:t xml:space="preserve"> qui représente beaucoup plus que les 10% du dernier prix. </w:t>
      </w:r>
      <w:r w:rsidRPr="007655F7">
        <w:rPr>
          <w:strike/>
        </w:rPr>
        <w:t>En gros</w:t>
      </w:r>
      <w:r w:rsidRPr="00796493">
        <w:t xml:space="preserve">, </w:t>
      </w:r>
      <w:r>
        <w:t>En effet, s</w:t>
      </w:r>
      <w:r w:rsidRPr="00796493">
        <w:t xml:space="preserve">i l’on compare le dernier prix </w:t>
      </w:r>
      <w:r w:rsidR="00254EBD">
        <w:t xml:space="preserve">HT </w:t>
      </w:r>
      <w:r w:rsidRPr="00796493">
        <w:t xml:space="preserve">(331) et la totalité de ce qui a été versé au Trésor public, on trouve 19,36%. On est quasiment au double des 10%. </w:t>
      </w:r>
      <w:r w:rsidR="00254EBD">
        <w:br/>
      </w:r>
      <w:r>
        <w:t>64,10 € c’est quasiment autant que 66,2 € qui correspond à 20%</w:t>
      </w:r>
      <w:r w:rsidR="0065019C">
        <w:t xml:space="preserve"> (le taux normal actuel)</w:t>
      </w:r>
      <w:r>
        <w:t xml:space="preserve">. </w:t>
      </w:r>
    </w:p>
    <w:p w14:paraId="65C2DFF5" w14:textId="77777777" w:rsidR="00254EBD" w:rsidRDefault="007655F7" w:rsidP="007655F7">
      <w:r>
        <w:t xml:space="preserve">Le système des taxes en cascade dont nous venons de voir une illustration </w:t>
      </w:r>
      <w:r w:rsidRPr="00796493">
        <w:t xml:space="preserve">était un système fiscal dans lequel </w:t>
      </w:r>
      <w:r w:rsidRPr="00254EBD">
        <w:rPr>
          <w:b/>
          <w:bCs/>
          <w:color w:val="832C6B"/>
        </w:rPr>
        <w:t>les entreprises payaient beaucoup</w:t>
      </w:r>
      <w:r w:rsidRPr="00796493">
        <w:t xml:space="preserve">. </w:t>
      </w:r>
      <w:r w:rsidR="00254EBD">
        <w:br/>
      </w:r>
      <w:r w:rsidRPr="00254EBD">
        <w:rPr>
          <w:i/>
          <w:iCs/>
        </w:rPr>
        <w:t>Comment la charge fiscale était-elle répartie entre les entreprises d’un côté et les consommateurs de l’autre ?</w:t>
      </w:r>
      <w:r>
        <w:t xml:space="preserve"> </w:t>
      </w:r>
      <w:r w:rsidRPr="00796493">
        <w:t xml:space="preserve">En prenant le total </w:t>
      </w:r>
      <w:r>
        <w:t xml:space="preserve">de 64,10 € de taxes en cascade </w:t>
      </w:r>
      <w:r w:rsidRPr="00796493">
        <w:t>payé</w:t>
      </w:r>
      <w:r>
        <w:t>s</w:t>
      </w:r>
      <w:r w:rsidRPr="00796493">
        <w:t xml:space="preserve"> au Trésor public, le consommateur payait 52% et les entreprises 48%. </w:t>
      </w:r>
    </w:p>
    <w:p w14:paraId="067CFD37" w14:textId="0016A7DA" w:rsidR="007655F7" w:rsidRDefault="007655F7" w:rsidP="007655F7">
      <w:r w:rsidRPr="00796493">
        <w:t xml:space="preserve">Maurice LAURÉ va inventer un système très astucieux dans lequel les entreprises vont collecter la TVA qui va leur servir de Trésorerie mais sans que cela leur coûte un centime tout simplement parce que la TVA sera </w:t>
      </w:r>
      <w:r w:rsidRPr="00254EBD">
        <w:rPr>
          <w:b/>
          <w:bCs/>
          <w:color w:val="832C6B"/>
        </w:rPr>
        <w:t>totalement payée par le consommateur final</w:t>
      </w:r>
      <w:r w:rsidRPr="00796493">
        <w:t>. Ce système va rapporter de l’argent à l’État sans que les entreprises ne soient directement concernées</w:t>
      </w:r>
      <w:r>
        <w:t xml:space="preserve"> car le Trésor public remboursera les entreprises. Le système de la TVA </w:t>
      </w:r>
      <w:r w:rsidRPr="00796493">
        <w:t xml:space="preserve">est un système </w:t>
      </w:r>
      <w:r>
        <w:t xml:space="preserve">d’impôt réel </w:t>
      </w:r>
      <w:r w:rsidRPr="00796493">
        <w:t>proportionnel avec un taux qui est le même pour tout le monde.</w:t>
      </w:r>
    </w:p>
    <w:p w14:paraId="31C73105" w14:textId="1998A53F" w:rsidR="007655F7" w:rsidRDefault="007655F7" w:rsidP="007655F7">
      <w:r>
        <w:t xml:space="preserve">La TVA a été élaborée au sein des administrations financières par Maurice LAURÉ. Il a pu réussir cette réforme avec le soutien d’hommes politiques comme Pierre MENDÈS-FRANCE, alors président de la commission des </w:t>
      </w:r>
      <w:r>
        <w:lastRenderedPageBreak/>
        <w:t>Finances de l’</w:t>
      </w:r>
      <w:r w:rsidR="00254EBD">
        <w:t>Assemblé nationale</w:t>
      </w:r>
      <w:r>
        <w:t xml:space="preserve">. La </w:t>
      </w:r>
      <w:r w:rsidRPr="00254EBD">
        <w:rPr>
          <w:b/>
          <w:bCs/>
          <w:color w:val="832C6B"/>
        </w:rPr>
        <w:t>loi n°54-404 du 10 avril 1954</w:t>
      </w:r>
      <w:r>
        <w:t xml:space="preserve"> portant réforme fiscale institue en France la TVA et le </w:t>
      </w:r>
      <w:r w:rsidRPr="00254EBD">
        <w:rPr>
          <w:b/>
          <w:bCs/>
          <w:color w:val="832C6B"/>
        </w:rPr>
        <w:t>Décret d’application n°55-465 du 30 avril 1955</w:t>
      </w:r>
      <w:r>
        <w:t xml:space="preserve"> décide de son application concrète. La TVA va s’imposer dans un premier temps à 300 000 industriels et grossistes soit 15% du total des entreprises avec deux taux 20% et 7,5%. Elle ne sera généralisée que plus tard sous l’influence de Valéry GISCARD d’ESTAING secrétaire d’État aux Finances qui était favorable au développement de la TVA. Ce sera la </w:t>
      </w:r>
      <w:r w:rsidRPr="00254EBD">
        <w:rPr>
          <w:b/>
          <w:bCs/>
          <w:color w:val="832C6B"/>
        </w:rPr>
        <w:t>loi du 6 janvier 1966</w:t>
      </w:r>
      <w:r>
        <w:t xml:space="preserve">. L’Europe va généraliser la TVA avec </w:t>
      </w:r>
      <w:r w:rsidRPr="00254EBD">
        <w:rPr>
          <w:b/>
          <w:bCs/>
          <w:color w:val="832C6B"/>
        </w:rPr>
        <w:t>deux directives du 11 avril 1967</w:t>
      </w:r>
      <w:r>
        <w:t>. Cette généralisation de la TVA en Europe va s’effectuer à partir du 1</w:t>
      </w:r>
      <w:r w:rsidRPr="00331C75">
        <w:rPr>
          <w:vertAlign w:val="superscript"/>
        </w:rPr>
        <w:t>er</w:t>
      </w:r>
      <w:r>
        <w:t xml:space="preserve"> janvier 1968. </w:t>
      </w:r>
    </w:p>
    <w:p w14:paraId="2417B278" w14:textId="10081391" w:rsidR="007655F7" w:rsidRDefault="007655F7" w:rsidP="007655F7">
      <w:r>
        <w:t xml:space="preserve">Le mot taxe sur la valeur ajoutée ou taxe à la valeur ajoutée peut faire croire que la TVA n’est pas un impôt mais une taxe. En réalité </w:t>
      </w:r>
      <w:r w:rsidRPr="00254EBD">
        <w:rPr>
          <w:b/>
          <w:bCs/>
          <w:color w:val="832C6B"/>
        </w:rPr>
        <w:t>c’est un impôt</w:t>
      </w:r>
      <w:r>
        <w:t xml:space="preserve"> totalement dénué de contrepartie. </w:t>
      </w:r>
    </w:p>
    <w:p w14:paraId="283F01AD" w14:textId="06393943" w:rsidR="007655F7" w:rsidRDefault="007655F7" w:rsidP="007655F7">
      <w:r>
        <w:t>La diffusion du système de la TVA dans le monde</w:t>
      </w:r>
      <w:r w:rsidR="00254EBD">
        <w:t xml:space="preserve"> s’est faite d</w:t>
      </w:r>
      <w:r>
        <w:t>ans un premier temps,</w:t>
      </w:r>
      <w:r w:rsidR="00254EBD">
        <w:t xml:space="preserve"> par</w:t>
      </w:r>
      <w:r>
        <w:t xml:space="preserve"> l’Europe qui a décidé de </w:t>
      </w:r>
      <w:r w:rsidRPr="00254EBD">
        <w:rPr>
          <w:b/>
          <w:bCs/>
          <w:color w:val="832C6B"/>
        </w:rPr>
        <w:t>généraliser le système de la TVA</w:t>
      </w:r>
      <w:r>
        <w:t xml:space="preserve"> au sein de ses États membres</w:t>
      </w:r>
      <w:r w:rsidR="00B44AEE">
        <w:t>.</w:t>
      </w:r>
      <w:r>
        <w:t xml:space="preserve"> Puis la TVA s’est développée dans d’autres États que ceux d’Europe. </w:t>
      </w:r>
      <w:r w:rsidR="00B44AEE">
        <w:t>Au t</w:t>
      </w:r>
      <w:r>
        <w:t>otal 130 États dans le monde</w:t>
      </w:r>
      <w:r w:rsidR="00B44AEE">
        <w:t xml:space="preserve"> ont le système de la TVA.</w:t>
      </w:r>
      <w:r>
        <w:t xml:space="preserve"> On a remarqué tout de suite l’hostilité des </w:t>
      </w:r>
      <w:r w:rsidR="00B44AEE">
        <w:t>États-Unis</w:t>
      </w:r>
      <w:r>
        <w:t xml:space="preserve"> envers ce système et les </w:t>
      </w:r>
      <w:r w:rsidR="00B44AEE">
        <w:t>États-Unis</w:t>
      </w:r>
      <w:r>
        <w:t xml:space="preserve"> n’ont jamais adopté le système français pour des raisons économiques. </w:t>
      </w:r>
    </w:p>
    <w:p w14:paraId="7B06D307" w14:textId="77777777" w:rsidR="00B44AEE" w:rsidRDefault="007655F7" w:rsidP="007655F7">
      <w:r>
        <w:t xml:space="preserve">Les partisans de la TVA lui reconnaissent deux qualités tout à fait remarquables : </w:t>
      </w:r>
    </w:p>
    <w:p w14:paraId="60485A01" w14:textId="5F9BC298" w:rsidR="00B44AEE" w:rsidRDefault="00B44AEE" w:rsidP="00B44AEE">
      <w:pPr>
        <w:pStyle w:val="Paragraphedeliste"/>
        <w:numPr>
          <w:ilvl w:val="0"/>
          <w:numId w:val="5"/>
        </w:numPr>
      </w:pPr>
      <w:r>
        <w:t>C</w:t>
      </w:r>
      <w:r w:rsidR="007655F7">
        <w:t xml:space="preserve">’est un impôt simple car il est collecté par les entreprises qui </w:t>
      </w:r>
      <w:r w:rsidR="00656B81">
        <w:t>en</w:t>
      </w:r>
      <w:r w:rsidR="007655F7">
        <w:t xml:space="preserve"> tirent un gros avantage de trésorerie</w:t>
      </w:r>
      <w:r>
        <w:t xml:space="preserve">. </w:t>
      </w:r>
    </w:p>
    <w:p w14:paraId="5604714E" w14:textId="77777777" w:rsidR="00B44AEE" w:rsidRDefault="00B44AEE" w:rsidP="00B44AEE">
      <w:pPr>
        <w:pStyle w:val="Paragraphedeliste"/>
        <w:numPr>
          <w:ilvl w:val="0"/>
          <w:numId w:val="5"/>
        </w:numPr>
      </w:pPr>
      <w:r>
        <w:t>C</w:t>
      </w:r>
      <w:r w:rsidR="007655F7">
        <w:t xml:space="preserve">’est un impôt neutre et indolore pour le consommateur car personne n’a conscience de payer la TVA puisqu’elle frappe toutes les consommations de biens </w:t>
      </w:r>
      <w:r>
        <w:t>et</w:t>
      </w:r>
      <w:r w:rsidR="007655F7">
        <w:t xml:space="preserve"> services. </w:t>
      </w:r>
    </w:p>
    <w:p w14:paraId="129A0DDC" w14:textId="730AD648" w:rsidR="007655F7" w:rsidRDefault="00B44AEE" w:rsidP="007655F7">
      <w:pPr>
        <w:pStyle w:val="Paragraphedeliste"/>
        <w:numPr>
          <w:ilvl w:val="0"/>
          <w:numId w:val="5"/>
        </w:numPr>
      </w:pPr>
      <w:r>
        <w:t>On peut y voir u</w:t>
      </w:r>
      <w:r w:rsidR="007655F7">
        <w:t>n 3</w:t>
      </w:r>
      <w:r w:rsidR="007655F7" w:rsidRPr="00B44AEE">
        <w:rPr>
          <w:vertAlign w:val="superscript"/>
        </w:rPr>
        <w:t>ème</w:t>
      </w:r>
      <w:r w:rsidR="007655F7">
        <w:t xml:space="preserve"> avantage </w:t>
      </w:r>
      <w:r w:rsidR="00656B81">
        <w:t xml:space="preserve">qui </w:t>
      </w:r>
      <w:r w:rsidR="007655F7">
        <w:t>s’y rajoute avec le rendement de la TVA.</w:t>
      </w:r>
    </w:p>
    <w:p w14:paraId="74249766" w14:textId="259A8AA3" w:rsidR="007655F7" w:rsidRDefault="007655F7" w:rsidP="007655F7">
      <w:r>
        <w:t xml:space="preserve">Les adversaires de la TVA trouvent que c’est un </w:t>
      </w:r>
      <w:r w:rsidRPr="00B44AEE">
        <w:rPr>
          <w:b/>
          <w:bCs/>
          <w:color w:val="832C6B"/>
        </w:rPr>
        <w:t>impôt injuste</w:t>
      </w:r>
      <w:r>
        <w:t xml:space="preserve"> en comparaison avec l’IR qui est un impôt progressif. La TVA est un impôt aveugle qui frappe tout le monde de la même manière quel que soit son niveau de revenus sans faire de différences. Par conséquent la TVA pèse davantage sur les </w:t>
      </w:r>
      <w:r w:rsidR="00656B81">
        <w:t xml:space="preserve">ménages composés des </w:t>
      </w:r>
      <w:r>
        <w:t xml:space="preserve">personnes les plus nombreuses qui doivent dépenser tout </w:t>
      </w:r>
      <w:r w:rsidR="00B44AEE">
        <w:t>leur revenu</w:t>
      </w:r>
      <w:r>
        <w:t xml:space="preserve"> pour consommer et faire vivre leur foyer fiscal.</w:t>
      </w:r>
    </w:p>
    <w:p w14:paraId="0C65E487" w14:textId="3BFCB448" w:rsidR="00B44AEE" w:rsidRDefault="00B44AEE" w:rsidP="007655F7"/>
    <w:p w14:paraId="689D128F" w14:textId="7F229DCF" w:rsidR="00B44AEE" w:rsidRDefault="00B44AEE" w:rsidP="00B44AEE">
      <w:pPr>
        <w:pStyle w:val="Titre1"/>
      </w:pPr>
      <w:r>
        <w:t xml:space="preserve">Section 1. L’assiette de la TVA </w:t>
      </w:r>
    </w:p>
    <w:p w14:paraId="6E0D196A" w14:textId="0794E43C" w:rsidR="00B44AEE" w:rsidRDefault="00B44AEE" w:rsidP="007655F7"/>
    <w:p w14:paraId="6A541849" w14:textId="79E8C29D" w:rsidR="00B44AEE" w:rsidRDefault="00B44AEE" w:rsidP="00B44AEE">
      <w:r w:rsidRPr="003D1412">
        <w:t xml:space="preserve">Le premier mouvement d’harmonisation fiscale européenne a concerné la TVA qui est une invention française. L’Europe a décidé de </w:t>
      </w:r>
      <w:r w:rsidRPr="0065019C">
        <w:rPr>
          <w:b/>
          <w:bCs/>
          <w:color w:val="832C6B"/>
        </w:rPr>
        <w:t>généraliser le système de la TVA</w:t>
      </w:r>
      <w:r w:rsidRPr="003D1412">
        <w:t xml:space="preserve"> en Europe à partir du 1</w:t>
      </w:r>
      <w:r w:rsidRPr="003D1412">
        <w:rPr>
          <w:vertAlign w:val="superscript"/>
        </w:rPr>
        <w:t>er</w:t>
      </w:r>
      <w:r w:rsidRPr="003D1412">
        <w:t xml:space="preserve"> janvier 1968. Puis les États membres ont décidé de se servir de la TVA pour créer une </w:t>
      </w:r>
      <w:r w:rsidRPr="0065019C">
        <w:rPr>
          <w:b/>
          <w:bCs/>
          <w:color w:val="832C6B"/>
        </w:rPr>
        <w:t>ressource d’équilibre pour le budget européen</w:t>
      </w:r>
      <w:r w:rsidRPr="003D1412">
        <w:t xml:space="preserve"> le 21 avril 1970</w:t>
      </w:r>
      <w:r w:rsidR="00656B81">
        <w:t xml:space="preserve"> avec la première décision du Conseil sur les ressources propres</w:t>
      </w:r>
      <w:r w:rsidRPr="003D1412">
        <w:t xml:space="preserve">. Mais il fallait s’entendre sur une assiette uniforme ce qui fut fait par la </w:t>
      </w:r>
      <w:hyperlink r:id="rId7" w:history="1">
        <w:r w:rsidRPr="0065019C">
          <w:rPr>
            <w:rStyle w:val="Lienhypertexte"/>
          </w:rPr>
          <w:t>6ème directive européenne sur la TVA du 17 mai 1977</w:t>
        </w:r>
      </w:hyperlink>
      <w:r w:rsidRPr="003D1412">
        <w:t xml:space="preserve">. La directive dresse la liste des biens et services taxables par la TVA. </w:t>
      </w:r>
      <w:r>
        <w:t xml:space="preserve">Actuellement, c’est une nouvelle Directive qui la remplace, la </w:t>
      </w:r>
      <w:hyperlink r:id="rId8" w:history="1">
        <w:r w:rsidRPr="0065019C">
          <w:rPr>
            <w:rStyle w:val="Lienhypertexte"/>
          </w:rPr>
          <w:t>Directive n°2006/112/CE du 28 novembre 2006</w:t>
        </w:r>
      </w:hyperlink>
      <w:r>
        <w:t xml:space="preserve">. </w:t>
      </w:r>
      <w:r w:rsidR="00656B81">
        <w:t xml:space="preserve">Cette directive vient d’être actualisée par la Directive n° 2022/542 du Conseil du 5 avril 2022 qui a mis à jour le cadre juridique pour les taux de TVA au sein des Etats membres de l’UE. </w:t>
      </w:r>
      <w:r>
        <w:t xml:space="preserve">Le droit de l’UE est marqué pour les questions fiscales par la règle de l’unanimité reposant actuellement sur </w:t>
      </w:r>
      <w:hyperlink r:id="rId9" w:history="1">
        <w:r w:rsidRPr="00B44AEE">
          <w:rPr>
            <w:rStyle w:val="Lienhypertexte"/>
          </w:rPr>
          <w:t>l’article 113 du TFUE</w:t>
        </w:r>
      </w:hyperlink>
      <w:r>
        <w:t xml:space="preserve">. Or avec les élargissements, l’unanimité a pétrifié les situations ce qui fait que les modifications des textes ont été mineures. Dans les questions concrètes d’application de la directive, l’interprétation de la CJUE joue un rôle clef et les juridictions nationales n’ont pas vocation à interpréter les textes nationaux qui se sont contentés de transposer le droit de l’UE. </w:t>
      </w:r>
    </w:p>
    <w:p w14:paraId="0B1A60DE" w14:textId="0E02D462" w:rsidR="00CE40F4" w:rsidRDefault="00CE40F4" w:rsidP="00B44AEE"/>
    <w:p w14:paraId="1D9A5BC4" w14:textId="0FD15717" w:rsidR="00CE40F4" w:rsidRDefault="00EC7165" w:rsidP="00EC7165">
      <w:pPr>
        <w:pStyle w:val="Titre2"/>
      </w:pPr>
      <w:r>
        <w:t xml:space="preserve">§1. Les biens et services tombant dans l’assiette </w:t>
      </w:r>
    </w:p>
    <w:p w14:paraId="6D06D44F" w14:textId="3A0BDB6D" w:rsidR="00EC7165" w:rsidRDefault="00EC7165" w:rsidP="00B44AEE"/>
    <w:p w14:paraId="4956109B" w14:textId="68B4C88B" w:rsidR="00514CF7" w:rsidRDefault="00EC7165" w:rsidP="00EC7165">
      <w:r w:rsidRPr="0065019C">
        <w:rPr>
          <w:i/>
          <w:iCs/>
        </w:rPr>
        <w:lastRenderedPageBreak/>
        <w:t>Qu’est-ce que la Valeur Ajoutée d’une entreprise ?</w:t>
      </w:r>
      <w:r>
        <w:t xml:space="preserve"> </w:t>
      </w:r>
      <w:r w:rsidR="0001551E">
        <w:t>Pour dire les choses de façon simple à comprendre c</w:t>
      </w:r>
      <w:r>
        <w:t xml:space="preserve">’est la </w:t>
      </w:r>
      <w:r w:rsidRPr="006D5E2E">
        <w:rPr>
          <w:b/>
          <w:bCs/>
          <w:color w:val="832C6B"/>
        </w:rPr>
        <w:t>différence</w:t>
      </w:r>
      <w:r>
        <w:t xml:space="preserve"> entre les recettes et les dépenses d’une entreprise. </w:t>
      </w:r>
      <w:r w:rsidR="00656B81">
        <w:t>C’est toute la richesse dégagée par une entreprise au cours d’une année.</w:t>
      </w:r>
    </w:p>
    <w:p w14:paraId="6F74FF76" w14:textId="4F28A79F" w:rsidR="00EC7165" w:rsidRDefault="00514CF7" w:rsidP="00EC7165">
      <w:r>
        <w:t>Pour être</w:t>
      </w:r>
      <w:r w:rsidR="00EC7165">
        <w:t xml:space="preserve"> plus préci</w:t>
      </w:r>
      <w:r>
        <w:t>s,</w:t>
      </w:r>
      <w:r w:rsidR="00EC7165">
        <w:t xml:space="preserve"> c’est la différence entre la valeur des biens et services produits par une entreprise et la valeur des biens et services utilisés par cette entreprise. Mais en raison de son mode de calcul, la TVA es</w:t>
      </w:r>
      <w:r>
        <w:t>t,</w:t>
      </w:r>
      <w:r w:rsidR="00EC7165">
        <w:t xml:space="preserve"> comme le disait Maurice LAURÉ</w:t>
      </w:r>
      <w:r>
        <w:t>,</w:t>
      </w:r>
      <w:r w:rsidR="00EC7165">
        <w:t xml:space="preserve"> un impôt portant en réalité sur la consommation des ménages. Les sources de l’assiette de la TVA sont européennes avec la </w:t>
      </w:r>
      <w:hyperlink r:id="rId10" w:history="1">
        <w:r w:rsidR="00EC7165" w:rsidRPr="006D5E2E">
          <w:rPr>
            <w:rStyle w:val="Lienhypertexte"/>
          </w:rPr>
          <w:t>6ème directive du 17 mai 1977</w:t>
        </w:r>
      </w:hyperlink>
      <w:r w:rsidR="00EC7165">
        <w:t xml:space="preserve">. Actuellement c’est une nouvelle Directive qui la remplace, la </w:t>
      </w:r>
      <w:hyperlink r:id="rId11" w:history="1">
        <w:r w:rsidR="00EC7165" w:rsidRPr="006D5E2E">
          <w:rPr>
            <w:rStyle w:val="Lienhypertexte"/>
          </w:rPr>
          <w:t>Directive n°2006/112/CE du 28 novembre 2006</w:t>
        </w:r>
      </w:hyperlink>
      <w:r w:rsidR="00EC7165">
        <w:t xml:space="preserve">. </w:t>
      </w:r>
    </w:p>
    <w:p w14:paraId="23B3AECE" w14:textId="3F45D859" w:rsidR="00EC7165" w:rsidRDefault="00EC7165" w:rsidP="00EC7165"/>
    <w:p w14:paraId="75899B0E" w14:textId="12C67BBD" w:rsidR="00EC7165" w:rsidRDefault="00EC7165" w:rsidP="00EC7165">
      <w:pPr>
        <w:pStyle w:val="Titre3"/>
      </w:pPr>
      <w:r>
        <w:t xml:space="preserve">A. Le champ d’application matériel </w:t>
      </w:r>
    </w:p>
    <w:p w14:paraId="19FD1FB6" w14:textId="6385B941" w:rsidR="00EC7165" w:rsidRDefault="00EC7165" w:rsidP="00EC7165"/>
    <w:p w14:paraId="20C87F39" w14:textId="77777777" w:rsidR="00C02F16" w:rsidRDefault="00EC7165" w:rsidP="00EC7165">
      <w:r>
        <w:t xml:space="preserve">Il s’agit </w:t>
      </w:r>
      <w:r w:rsidRPr="00C02F16">
        <w:rPr>
          <w:b/>
          <w:bCs/>
          <w:color w:val="832C6B"/>
        </w:rPr>
        <w:t>de l’ensemble des opérations soumises à la TVA</w:t>
      </w:r>
      <w:r>
        <w:t xml:space="preserve"> qui en constituent l’assiette. </w:t>
      </w:r>
    </w:p>
    <w:p w14:paraId="628B586F" w14:textId="1CEF3B73" w:rsidR="00EC7165" w:rsidRDefault="00EC7165" w:rsidP="00C02F16">
      <w:pPr>
        <w:pStyle w:val="Exemple"/>
      </w:pPr>
      <w:r>
        <w:t xml:space="preserve">Il peut s’agir d’opérations imposables par nature ou par détermination de la Loi. </w:t>
      </w:r>
    </w:p>
    <w:p w14:paraId="3FECBA43" w14:textId="77B27128" w:rsidR="00EC7165" w:rsidRDefault="00EC7165" w:rsidP="00EC7165"/>
    <w:p w14:paraId="13ABFD0D" w14:textId="27D126C6" w:rsidR="00EC7165" w:rsidRDefault="00EC7165" w:rsidP="00EC7165">
      <w:pPr>
        <w:pStyle w:val="Titre4"/>
      </w:pPr>
      <w:r>
        <w:t xml:space="preserve">1. Les opérations imposables par nature à la TVA </w:t>
      </w:r>
    </w:p>
    <w:p w14:paraId="1DC936A0" w14:textId="6C5BA2BC" w:rsidR="00EC7165" w:rsidRDefault="00EC7165" w:rsidP="00EC7165"/>
    <w:p w14:paraId="4B33F875" w14:textId="77777777" w:rsidR="00C02F16" w:rsidRDefault="00C02F16" w:rsidP="00EC7165">
      <w:r>
        <w:t xml:space="preserve">Il y a deux critères </w:t>
      </w:r>
      <w:r w:rsidR="00EC7165">
        <w:t xml:space="preserve">réels : </w:t>
      </w:r>
    </w:p>
    <w:p w14:paraId="48B1EB71" w14:textId="77777777" w:rsidR="00C02F16" w:rsidRDefault="00C02F16" w:rsidP="00C02F16">
      <w:pPr>
        <w:pStyle w:val="Paragraphedeliste"/>
        <w:numPr>
          <w:ilvl w:val="0"/>
          <w:numId w:val="18"/>
        </w:numPr>
      </w:pPr>
      <w:r>
        <w:t>L</w:t>
      </w:r>
      <w:r w:rsidR="00EC7165">
        <w:t xml:space="preserve">a nature de l’opération </w:t>
      </w:r>
    </w:p>
    <w:p w14:paraId="553563E6" w14:textId="77777777" w:rsidR="00C02F16" w:rsidRDefault="00C02F16" w:rsidP="00C02F16">
      <w:pPr>
        <w:pStyle w:val="Paragraphedeliste"/>
        <w:numPr>
          <w:ilvl w:val="0"/>
          <w:numId w:val="18"/>
        </w:numPr>
      </w:pPr>
      <w:r>
        <w:t>S</w:t>
      </w:r>
      <w:r w:rsidR="00EC7165">
        <w:t xml:space="preserve">on caractère onéreux </w:t>
      </w:r>
    </w:p>
    <w:p w14:paraId="127EFB90" w14:textId="437D709A" w:rsidR="00EC7165" w:rsidRDefault="00C02F16" w:rsidP="00C02F16">
      <w:r>
        <w:t>A ces deux critères réels s’ajoute un</w:t>
      </w:r>
      <w:r w:rsidR="00EC7165">
        <w:t xml:space="preserve"> critère personnel. </w:t>
      </w:r>
    </w:p>
    <w:p w14:paraId="62EAFF93" w14:textId="77777777" w:rsidR="00EC7165" w:rsidRDefault="00EC7165" w:rsidP="00EC7165"/>
    <w:p w14:paraId="331EB2FE" w14:textId="3BE8E5AD" w:rsidR="00EC7165" w:rsidRDefault="00EC7165" w:rsidP="00EC7165">
      <w:pPr>
        <w:pStyle w:val="Titre5"/>
      </w:pPr>
      <w:r>
        <w:t xml:space="preserve">a. La nature des opérations </w:t>
      </w:r>
    </w:p>
    <w:p w14:paraId="70BFE64D" w14:textId="20D50B43" w:rsidR="00EC7165" w:rsidRDefault="00EC7165" w:rsidP="00EC7165"/>
    <w:p w14:paraId="2715544D" w14:textId="070E7760" w:rsidR="00C02F16" w:rsidRDefault="00EC7165" w:rsidP="00EC7165">
      <w:r>
        <w:t xml:space="preserve">Il s’agit de la livraison de biens et de prestations de services. La livraison de biens concerne en principe les </w:t>
      </w:r>
      <w:r w:rsidRPr="006D5E2E">
        <w:rPr>
          <w:b/>
          <w:bCs/>
          <w:color w:val="832C6B"/>
        </w:rPr>
        <w:t>biens meubles corporels</w:t>
      </w:r>
      <w:r>
        <w:t xml:space="preserve">. Les prestations de services </w:t>
      </w:r>
      <w:r w:rsidR="00C02F16">
        <w:t>sont</w:t>
      </w:r>
      <w:r>
        <w:t xml:space="preserve"> très </w:t>
      </w:r>
      <w:r w:rsidR="00C02F16">
        <w:t>larges</w:t>
      </w:r>
      <w:r>
        <w:t xml:space="preserve"> et permet</w:t>
      </w:r>
      <w:r w:rsidR="00C02F16">
        <w:t>tent</w:t>
      </w:r>
      <w:r>
        <w:t xml:space="preserve"> d’inclure des cessions de biens incorporels</w:t>
      </w:r>
      <w:r w:rsidR="00C02F16">
        <w:t xml:space="preserve"> : </w:t>
      </w:r>
    </w:p>
    <w:p w14:paraId="6F659FBE" w14:textId="7769DF01" w:rsidR="00EC7165" w:rsidRDefault="00C02F16" w:rsidP="00C02F16">
      <w:pPr>
        <w:pStyle w:val="Exemple"/>
      </w:pPr>
      <w:r>
        <w:t>C</w:t>
      </w:r>
      <w:r w:rsidR="00EC7165">
        <w:t xml:space="preserve">omme les brevets, logiciels, marques et autres, les locations de biens meubles </w:t>
      </w:r>
      <w:r>
        <w:t>notamment</w:t>
      </w:r>
      <w:r w:rsidR="00EC7165">
        <w:t xml:space="preserve"> les véhicules.</w:t>
      </w:r>
    </w:p>
    <w:p w14:paraId="3C6F2FAB" w14:textId="1084780F" w:rsidR="00EC7165" w:rsidRDefault="00EC7165" w:rsidP="00EC7165"/>
    <w:p w14:paraId="44FE8F1F" w14:textId="1E097BE8" w:rsidR="00EC7165" w:rsidRDefault="00EC7165" w:rsidP="00EC7165">
      <w:pPr>
        <w:pStyle w:val="Titre5"/>
      </w:pPr>
      <w:r>
        <w:t xml:space="preserve">b. Le caractère onéreux </w:t>
      </w:r>
      <w:r w:rsidRPr="00EC7165">
        <w:t>des</w:t>
      </w:r>
      <w:r>
        <w:t xml:space="preserve"> opérations réalisées</w:t>
      </w:r>
    </w:p>
    <w:p w14:paraId="64A7786C" w14:textId="53ECA8C3" w:rsidR="00EC7165" w:rsidRDefault="00EC7165" w:rsidP="00EC7165"/>
    <w:p w14:paraId="4F895181" w14:textId="520FD1F6" w:rsidR="00C02F16" w:rsidRDefault="00EC7165" w:rsidP="00EC7165">
      <w:r>
        <w:t>La vente pour être parfaite doit avoir pour contrepartie le paiement d’un prix. Pour la TVA, c’est la même chose, la valeur ajoutée doit résulter d’un paiement qui peut-être un prix payé en euros, en nature ou en titres.</w:t>
      </w:r>
      <w:r w:rsidR="00C02F16">
        <w:t xml:space="preserve"> Il y a donc une</w:t>
      </w:r>
      <w:r>
        <w:t xml:space="preserve"> </w:t>
      </w:r>
      <w:r w:rsidR="00C02F16">
        <w:t>i</w:t>
      </w:r>
      <w:r>
        <w:t xml:space="preserve">mportance </w:t>
      </w:r>
      <w:r w:rsidR="00AA3065">
        <w:t xml:space="preserve">capitale </w:t>
      </w:r>
      <w:r>
        <w:t>d</w:t>
      </w:r>
      <w:r w:rsidR="00AA3065">
        <w:t>e</w:t>
      </w:r>
      <w:r>
        <w:t xml:space="preserve"> la contrepartie. </w:t>
      </w:r>
    </w:p>
    <w:p w14:paraId="3D3840AE" w14:textId="663FD9C7" w:rsidR="00C02F16" w:rsidRDefault="00EC7165" w:rsidP="00EC7165">
      <w:r>
        <w:t xml:space="preserve">La jurisprudence a fixé un </w:t>
      </w:r>
      <w:r w:rsidRPr="00C02F16">
        <w:rPr>
          <w:b/>
          <w:bCs/>
          <w:color w:val="832C6B"/>
        </w:rPr>
        <w:t>critère du lien direct</w:t>
      </w:r>
      <w:r>
        <w:t xml:space="preserve"> entre le service rendu et la contrepartie</w:t>
      </w:r>
      <w:r w:rsidR="00C02F16">
        <w:t xml:space="preserve"> : </w:t>
      </w:r>
      <w:hyperlink r:id="rId12" w:history="1">
        <w:r w:rsidRPr="00C02F16">
          <w:rPr>
            <w:rStyle w:val="Lienhypertexte"/>
          </w:rPr>
          <w:t>CJCE, 8 mars 1988, C-102/86</w:t>
        </w:r>
      </w:hyperlink>
      <w:r>
        <w:t xml:space="preserve">, </w:t>
      </w:r>
      <w:r w:rsidR="00C02F16">
        <w:t>a</w:t>
      </w:r>
      <w:r>
        <w:t>ffaire des pommes et des poires. Cette affaire concernait un comité professionnel de producteurs de pommes et de poires au R</w:t>
      </w:r>
      <w:r w:rsidR="00C02F16">
        <w:t>oyaume-Uni</w:t>
      </w:r>
      <w:r>
        <w:t>. </w:t>
      </w:r>
      <w:r w:rsidR="00C02F16">
        <w:t xml:space="preserve">La question s’est posée de savoir si </w:t>
      </w:r>
      <w:r w:rsidR="00C02F16" w:rsidRPr="00C02F16">
        <w:rPr>
          <w:i/>
          <w:iCs/>
        </w:rPr>
        <w:t>l</w:t>
      </w:r>
      <w:r w:rsidRPr="00C02F16">
        <w:rPr>
          <w:i/>
          <w:iCs/>
        </w:rPr>
        <w:t>es ressources du comité devaien</w:t>
      </w:r>
      <w:r w:rsidR="00C02F16">
        <w:rPr>
          <w:i/>
          <w:iCs/>
        </w:rPr>
        <w:t>t</w:t>
      </w:r>
      <w:r w:rsidRPr="00C02F16">
        <w:rPr>
          <w:i/>
          <w:iCs/>
        </w:rPr>
        <w:t xml:space="preserve"> ou non être taxables à la TVA ?</w:t>
      </w:r>
      <w:r>
        <w:t xml:space="preserve"> </w:t>
      </w:r>
      <w:r w:rsidR="00C02F16">
        <w:t>Pour rappel, i</w:t>
      </w:r>
      <w:r>
        <w:t xml:space="preserve">l s’agissait de cotisations obligatoires. La CJCE constate qu’il y a une prestation de services fournie en échange du paiement des cotisations. Toutefois, il n’y avait pas de service </w:t>
      </w:r>
      <w:r>
        <w:lastRenderedPageBreak/>
        <w:t xml:space="preserve">individualisé. C’est un service collectif. </w:t>
      </w:r>
      <w:r w:rsidRPr="005545C9">
        <w:rPr>
          <w:rFonts w:cs="Times New Roman (Corps CS)"/>
        </w:rPr>
        <w:t xml:space="preserve">Donc il est hors TVA, </w:t>
      </w:r>
      <w:r w:rsidR="005545C9">
        <w:rPr>
          <w:rFonts w:cs="Times New Roman (Corps CS)"/>
        </w:rPr>
        <w:t>ce qui signifie qu’</w:t>
      </w:r>
      <w:r w:rsidRPr="005545C9">
        <w:rPr>
          <w:rFonts w:cs="Times New Roman (Corps CS)"/>
        </w:rPr>
        <w:t>il est hors assiette</w:t>
      </w:r>
      <w:r w:rsidR="005545C9">
        <w:rPr>
          <w:rFonts w:cs="Times New Roman (Corps CS)"/>
        </w:rPr>
        <w:t xml:space="preserve"> de la TVA</w:t>
      </w:r>
      <w:r>
        <w:t xml:space="preserve">. </w:t>
      </w:r>
      <w:r w:rsidR="00C02F16">
        <w:t xml:space="preserve">Comme c’était un service collectif, les cotisations obligatoires ne sont pas soumises à la TVA. </w:t>
      </w:r>
    </w:p>
    <w:p w14:paraId="29FFC208" w14:textId="77777777" w:rsidR="00E33E7D" w:rsidRDefault="00E33E7D" w:rsidP="00EC7165"/>
    <w:p w14:paraId="0F2E329E" w14:textId="77777777" w:rsidR="00C02F16" w:rsidRDefault="00EC7165" w:rsidP="00C02F16">
      <w:pPr>
        <w:pStyle w:val="Remarque"/>
      </w:pPr>
      <w:r>
        <w:t>Pour que ce soit bon, il faut deux choses :</w:t>
      </w:r>
    </w:p>
    <w:p w14:paraId="634A86DA" w14:textId="3D24349C" w:rsidR="00C02F16" w:rsidRDefault="00EC7165" w:rsidP="00C02F16">
      <w:pPr>
        <w:pStyle w:val="Remarque"/>
        <w:numPr>
          <w:ilvl w:val="0"/>
          <w:numId w:val="20"/>
        </w:numPr>
      </w:pPr>
      <w:r>
        <w:t>Un lien de causalité</w:t>
      </w:r>
      <w:r w:rsidR="00C02F16">
        <w:t>.</w:t>
      </w:r>
    </w:p>
    <w:p w14:paraId="39132B77" w14:textId="4551843A" w:rsidR="00EC7165" w:rsidRDefault="00EC7165" w:rsidP="00C02F16">
      <w:pPr>
        <w:pStyle w:val="Remarque"/>
        <w:numPr>
          <w:ilvl w:val="0"/>
          <w:numId w:val="20"/>
        </w:numPr>
      </w:pPr>
      <w:r>
        <w:t>Une contrepartie individualisée.</w:t>
      </w:r>
    </w:p>
    <w:p w14:paraId="1B586E92" w14:textId="21559F9C" w:rsidR="00EC7165" w:rsidRDefault="00EC7165" w:rsidP="00EC7165"/>
    <w:p w14:paraId="6CD8E6A8" w14:textId="3AEB6545" w:rsidR="00EC7165" w:rsidRDefault="00EC7165" w:rsidP="00EC7165">
      <w:pPr>
        <w:pStyle w:val="Titre5"/>
      </w:pPr>
      <w:r>
        <w:t xml:space="preserve">c. Le critère personnel : la notion d’assujetti à la TVA </w:t>
      </w:r>
    </w:p>
    <w:p w14:paraId="037C5FD9" w14:textId="085C026A" w:rsidR="00EC7165" w:rsidRDefault="00EC7165" w:rsidP="00EC7165"/>
    <w:p w14:paraId="4A709BBD" w14:textId="7E40E9F3" w:rsidR="00514CF7" w:rsidRDefault="002376E6" w:rsidP="00514CF7">
      <w:pPr>
        <w:pStyle w:val="Dfinition"/>
      </w:pPr>
      <w:hyperlink r:id="rId13" w:history="1">
        <w:r w:rsidR="00EC7165" w:rsidRPr="008F10E5">
          <w:rPr>
            <w:rStyle w:val="Lienhypertexte"/>
          </w:rPr>
          <w:t>L’article 256</w:t>
        </w:r>
        <w:r w:rsidR="00514CF7" w:rsidRPr="008F10E5">
          <w:rPr>
            <w:rStyle w:val="Lienhypertexte"/>
          </w:rPr>
          <w:t xml:space="preserve"> A</w:t>
        </w:r>
        <w:r w:rsidR="00EC7165" w:rsidRPr="008F10E5">
          <w:rPr>
            <w:rStyle w:val="Lienhypertexte"/>
          </w:rPr>
          <w:t xml:space="preserve"> du CGI</w:t>
        </w:r>
      </w:hyperlink>
      <w:r w:rsidR="00EC7165">
        <w:t xml:space="preserve"> précise </w:t>
      </w:r>
      <w:r w:rsidR="00C02F16">
        <w:t>la définition d’</w:t>
      </w:r>
      <w:r w:rsidR="00EC7165">
        <w:t>un assujetti</w:t>
      </w:r>
      <w:r w:rsidR="00C02F16">
        <w:t xml:space="preserve"> à la TVA</w:t>
      </w:r>
      <w:r w:rsidR="00EC7165">
        <w:t xml:space="preserve"> qui doit</w:t>
      </w:r>
      <w:r w:rsidR="00514CF7">
        <w:t xml:space="preserve"> s’entendre comme toute personne qui</w:t>
      </w:r>
      <w:r w:rsidR="00EC7165">
        <w:t xml:space="preserve"> </w:t>
      </w:r>
      <w:r w:rsidR="00EC7165" w:rsidRPr="00C02F16">
        <w:rPr>
          <w:b/>
          <w:bCs/>
          <w:color w:val="832C6B"/>
        </w:rPr>
        <w:t>exerce une activité économique de façon indépendante</w:t>
      </w:r>
      <w:r w:rsidR="00C02F16">
        <w:t xml:space="preserve">. </w:t>
      </w:r>
    </w:p>
    <w:p w14:paraId="097DD53E" w14:textId="2E0D2C7E" w:rsidR="00C02F16" w:rsidRDefault="00C02F16" w:rsidP="00EC7165">
      <w:r>
        <w:t>C</w:t>
      </w:r>
      <w:r w:rsidR="00EC7165">
        <w:t xml:space="preserve">ette notion d’indépendance signifie que l’assujetti est libre de s’organiser pour exercer son activité professionnelle. L’assujetti doit exercer des </w:t>
      </w:r>
      <w:r w:rsidR="00EC7165" w:rsidRPr="00514CF7">
        <w:rPr>
          <w:b/>
          <w:bCs/>
          <w:color w:val="832C6B"/>
        </w:rPr>
        <w:t>activités économiques</w:t>
      </w:r>
      <w:r w:rsidR="00EC7165">
        <w:t xml:space="preserve"> pouvant concerner les différents stades de l’activité : </w:t>
      </w:r>
    </w:p>
    <w:p w14:paraId="122021C1" w14:textId="7C9FDF97" w:rsidR="00EC7165" w:rsidRDefault="00C02F16" w:rsidP="00C02F16">
      <w:pPr>
        <w:pStyle w:val="Exemple"/>
      </w:pPr>
      <w:r>
        <w:t>L</w:t>
      </w:r>
      <w:r w:rsidR="00EC7165">
        <w:t xml:space="preserve">a production, commercialisation, activité libérale. </w:t>
      </w:r>
    </w:p>
    <w:p w14:paraId="3C925194" w14:textId="1748017A" w:rsidR="00EC7165" w:rsidRDefault="00A92C6D" w:rsidP="00EC7165">
      <w:r>
        <w:t>Le critère personnel comporte deux notions importantes. La première a déjà été développé</w:t>
      </w:r>
      <w:r w:rsidR="008F10E5">
        <w:t>e</w:t>
      </w:r>
      <w:r>
        <w:t xml:space="preserve"> plus haut sur l’activité économique. La deuxième notion peut paraitre moins évidente. En effet, cette activité ne doit pas être seulement économique</w:t>
      </w:r>
      <w:r w:rsidR="00512842">
        <w:t>,</w:t>
      </w:r>
      <w:r>
        <w:t xml:space="preserve"> mais doit s’exercer de façon indépendante. Cette notion d’indépendance est </w:t>
      </w:r>
      <w:r w:rsidR="00451AD5">
        <w:t>primordiale</w:t>
      </w:r>
      <w:r>
        <w:t xml:space="preserve"> afin d’avoir la qualité d’un assujetti à la TVA. </w:t>
      </w:r>
      <w:r w:rsidR="00451AD5">
        <w:t xml:space="preserve">La qualité d’indépendant est reconnue aux personnes qui exercent une activité sous leur </w:t>
      </w:r>
      <w:r w:rsidR="00451AD5" w:rsidRPr="00451AD5">
        <w:rPr>
          <w:b/>
          <w:bCs/>
          <w:color w:val="832C6B"/>
        </w:rPr>
        <w:t>propre responsabilité</w:t>
      </w:r>
      <w:r w:rsidR="00451AD5">
        <w:t xml:space="preserve"> et </w:t>
      </w:r>
      <w:r w:rsidR="00451AD5" w:rsidRPr="00451AD5">
        <w:rPr>
          <w:b/>
          <w:bCs/>
          <w:color w:val="832C6B"/>
        </w:rPr>
        <w:t>jouissent d’une totale liberté</w:t>
      </w:r>
      <w:r w:rsidR="00451AD5">
        <w:t xml:space="preserve"> concernant l’organisation et l’exécution des travaux. </w:t>
      </w:r>
    </w:p>
    <w:p w14:paraId="4B71C95F" w14:textId="77777777" w:rsidR="00A92C6D" w:rsidRDefault="00A92C6D" w:rsidP="00EC7165"/>
    <w:p w14:paraId="2CF53739" w14:textId="456CB1B2" w:rsidR="00EC7165" w:rsidRDefault="00EC7165" w:rsidP="00EC7165">
      <w:pPr>
        <w:pStyle w:val="Titre4"/>
      </w:pPr>
      <w:r>
        <w:t xml:space="preserve">2. Les opérations imposables par détermination de la Loi </w:t>
      </w:r>
    </w:p>
    <w:p w14:paraId="75E9D91F" w14:textId="273B63D6" w:rsidR="00EC7165" w:rsidRDefault="00EC7165" w:rsidP="00EC7165"/>
    <w:p w14:paraId="2C71E009" w14:textId="0BBBA2A8" w:rsidR="00EC7165" w:rsidRDefault="00EC7165" w:rsidP="00EC7165">
      <w:pPr>
        <w:pStyle w:val="Titre5"/>
      </w:pPr>
      <w:r>
        <w:t>a. Article 260 du CGI : les possibilités d’option</w:t>
      </w:r>
    </w:p>
    <w:p w14:paraId="385BBB68" w14:textId="12673293" w:rsidR="00EC7165" w:rsidRDefault="00EC7165" w:rsidP="00EC7165"/>
    <w:p w14:paraId="7DB2350D" w14:textId="2C6D122D" w:rsidR="009C5A01" w:rsidRPr="009C5A01" w:rsidRDefault="002376E6" w:rsidP="009C5A01">
      <w:pPr>
        <w:pStyle w:val="Textederfrence"/>
        <w:rPr>
          <w:i/>
          <w:iCs/>
        </w:rPr>
      </w:pPr>
      <w:hyperlink r:id="rId14" w:history="1">
        <w:r w:rsidR="009C5A01" w:rsidRPr="00E2316E">
          <w:rPr>
            <w:rStyle w:val="Lienhypertexte"/>
          </w:rPr>
          <w:t>Article 260 du Code général des impôts </w:t>
        </w:r>
      </w:hyperlink>
      <w:r w:rsidR="009C5A01" w:rsidRPr="009C5A01">
        <w:t xml:space="preserve">: </w:t>
      </w:r>
      <w:r w:rsidR="009C5A01">
        <w:t>« </w:t>
      </w:r>
      <w:r w:rsidR="009C5A01" w:rsidRPr="009C5A01">
        <w:rPr>
          <w:i/>
          <w:iCs/>
        </w:rPr>
        <w:t>Peuvent sur leur demande acquitter la taxe sur la valeur ajoutée : </w:t>
      </w:r>
    </w:p>
    <w:p w14:paraId="603299B5" w14:textId="6B963D15" w:rsidR="009C5A01" w:rsidRPr="009C5A01" w:rsidRDefault="009C5A01" w:rsidP="009C5A01">
      <w:pPr>
        <w:pStyle w:val="Textederfrence"/>
        <w:rPr>
          <w:i/>
          <w:iCs/>
        </w:rPr>
      </w:pPr>
      <w:r w:rsidRPr="009C5A01">
        <w:rPr>
          <w:i/>
          <w:iCs/>
        </w:rPr>
        <w:t>1° (Disposition devenue sans objet). </w:t>
      </w:r>
    </w:p>
    <w:p w14:paraId="103F9D0F" w14:textId="77777777" w:rsidR="009C5A01" w:rsidRPr="009C5A01" w:rsidRDefault="009C5A01" w:rsidP="009C5A01">
      <w:pPr>
        <w:pStyle w:val="Textederfrence"/>
        <w:rPr>
          <w:i/>
          <w:iCs/>
        </w:rPr>
      </w:pPr>
      <w:r w:rsidRPr="009C5A01">
        <w:rPr>
          <w:i/>
          <w:iCs/>
        </w:rPr>
        <w:t>2° Les personnes qui donnent en location des locaux nus pour les besoins de l'activité d'un preneur assujetti à la taxe sur la valeur ajoutée ou, si le bail est conclu à compter du 1er janvier 1991, pour les besoins de l'activité d'un preneur non assujetti. </w:t>
      </w:r>
    </w:p>
    <w:p w14:paraId="7378F5EE" w14:textId="77777777" w:rsidR="009C5A01" w:rsidRPr="009C5A01" w:rsidRDefault="009C5A01" w:rsidP="009C5A01">
      <w:pPr>
        <w:pStyle w:val="Textederfrence"/>
        <w:rPr>
          <w:i/>
          <w:iCs/>
        </w:rPr>
      </w:pPr>
      <w:r w:rsidRPr="009C5A01">
        <w:rPr>
          <w:i/>
          <w:iCs/>
        </w:rPr>
        <w:t>L'option ne peut pas être exercée : </w:t>
      </w:r>
    </w:p>
    <w:p w14:paraId="027F8F1F" w14:textId="77777777" w:rsidR="009C5A01" w:rsidRPr="009C5A01" w:rsidRDefault="009C5A01" w:rsidP="009C5A01">
      <w:pPr>
        <w:pStyle w:val="Textederfrence"/>
        <w:rPr>
          <w:i/>
          <w:iCs/>
        </w:rPr>
      </w:pPr>
      <w:r w:rsidRPr="009C5A01">
        <w:rPr>
          <w:i/>
          <w:iCs/>
        </w:rPr>
        <w:t>a. Si les locaux nus donnés en location sont destinés à l'habitation ou à un usage agricole ; </w:t>
      </w:r>
    </w:p>
    <w:p w14:paraId="72A23BDA" w14:textId="77777777" w:rsidR="009C5A01" w:rsidRPr="009C5A01" w:rsidRDefault="009C5A01" w:rsidP="009C5A01">
      <w:pPr>
        <w:pStyle w:val="Textederfrence"/>
        <w:rPr>
          <w:i/>
          <w:iCs/>
        </w:rPr>
      </w:pPr>
      <w:r w:rsidRPr="009C5A01">
        <w:rPr>
          <w:i/>
          <w:iCs/>
        </w:rPr>
        <w:t>b. Si le preneur est non assujetti, sauf lorsque le bail fait mention de l'option par le bailleur (1). </w:t>
      </w:r>
    </w:p>
    <w:p w14:paraId="54DEFEC0" w14:textId="77777777" w:rsidR="009C5A01" w:rsidRPr="009C5A01" w:rsidRDefault="009C5A01" w:rsidP="009C5A01">
      <w:pPr>
        <w:pStyle w:val="Textederfrence"/>
        <w:rPr>
          <w:i/>
          <w:iCs/>
        </w:rPr>
      </w:pPr>
      <w:r w:rsidRPr="009C5A01">
        <w:rPr>
          <w:i/>
          <w:iCs/>
        </w:rPr>
        <w:t>3° (Abrogé) ; </w:t>
      </w:r>
    </w:p>
    <w:p w14:paraId="09DFF388" w14:textId="77777777" w:rsidR="009C5A01" w:rsidRPr="009C5A01" w:rsidRDefault="009C5A01" w:rsidP="009C5A01">
      <w:pPr>
        <w:pStyle w:val="Textederfrence"/>
        <w:rPr>
          <w:i/>
          <w:iCs/>
        </w:rPr>
      </w:pPr>
      <w:r w:rsidRPr="009C5A01">
        <w:rPr>
          <w:i/>
          <w:iCs/>
        </w:rPr>
        <w:t>4° (Abrogé) ; </w:t>
      </w:r>
    </w:p>
    <w:p w14:paraId="6F8E4B78" w14:textId="1D9AA575" w:rsidR="009C5A01" w:rsidRPr="009C5A01" w:rsidRDefault="009C5A01" w:rsidP="00213CFC">
      <w:pPr>
        <w:pStyle w:val="Textederfrence"/>
        <w:rPr>
          <w:i/>
          <w:iCs/>
        </w:rPr>
      </w:pPr>
      <w:r w:rsidRPr="009C5A01">
        <w:rPr>
          <w:i/>
          <w:iCs/>
        </w:rPr>
        <w:lastRenderedPageBreak/>
        <w:t>5° Les personnes qui consentent un bail visé au 1° bis de </w:t>
      </w:r>
      <w:hyperlink r:id="rId15" w:tooltip="Code général des impôts, CGI. - art. 261 D (V)" w:history="1">
        <w:r w:rsidRPr="009C5A01">
          <w:rPr>
            <w:rStyle w:val="Lienhypertexte"/>
            <w:i/>
            <w:iCs/>
          </w:rPr>
          <w:t>l'article 261 D </w:t>
        </w:r>
      </w:hyperlink>
      <w:r w:rsidR="00213CFC">
        <w:rPr>
          <w:i/>
          <w:iCs/>
        </w:rPr>
        <w:t>(location d’immeubles) ;</w:t>
      </w:r>
    </w:p>
    <w:p w14:paraId="40F23B19" w14:textId="4DFA4983" w:rsidR="009C5A01" w:rsidRPr="009C5A01" w:rsidRDefault="009C5A01" w:rsidP="009C5A01">
      <w:pPr>
        <w:pStyle w:val="Textederfrence"/>
        <w:rPr>
          <w:i/>
          <w:iCs/>
        </w:rPr>
      </w:pPr>
      <w:r w:rsidRPr="009C5A01">
        <w:rPr>
          <w:i/>
          <w:iCs/>
        </w:rPr>
        <w:t>5° bis Les personnes qui réalisent une opération visée au 5 de </w:t>
      </w:r>
      <w:hyperlink r:id="rId16" w:tooltip="Code général des impôts, CGI. - art. 261 (V)" w:history="1">
        <w:r w:rsidRPr="009C5A01">
          <w:rPr>
            <w:rStyle w:val="Lienhypertexte"/>
            <w:i/>
            <w:iCs/>
          </w:rPr>
          <w:t>l'article 261</w:t>
        </w:r>
      </w:hyperlink>
      <w:r w:rsidRPr="009C5A01">
        <w:rPr>
          <w:i/>
          <w:iCs/>
        </w:rPr>
        <w:t> </w:t>
      </w:r>
      <w:r w:rsidR="00213CFC">
        <w:rPr>
          <w:i/>
          <w:iCs/>
        </w:rPr>
        <w:t xml:space="preserve">(opérations immobilières) </w:t>
      </w:r>
      <w:r w:rsidRPr="009C5A01">
        <w:rPr>
          <w:i/>
          <w:iCs/>
        </w:rPr>
        <w:t>; </w:t>
      </w:r>
    </w:p>
    <w:p w14:paraId="27D1F557" w14:textId="77777777" w:rsidR="009C5A01" w:rsidRPr="009C5A01" w:rsidRDefault="009C5A01" w:rsidP="009C5A01">
      <w:pPr>
        <w:pStyle w:val="Textederfrence"/>
        <w:rPr>
          <w:i/>
          <w:iCs/>
        </w:rPr>
      </w:pPr>
      <w:r w:rsidRPr="009C5A01">
        <w:rPr>
          <w:i/>
          <w:iCs/>
        </w:rPr>
        <w:t>6° A compter du 1er octobre 1988, les personnes qui donnent en location des terres et bâtiments d'exploitation à usage agricole. L'option ne peut être exercée que si le preneur est redevable de la taxe sur la valeur ajoutée et elle s'applique à tous les baux conclus par un même bailleur avec des agriculteurs répondant à cette condition (2). </w:t>
      </w:r>
    </w:p>
    <w:p w14:paraId="0D3000ED" w14:textId="2E301DC1" w:rsidR="009C5A01" w:rsidRPr="009C5A01" w:rsidRDefault="009C5A01" w:rsidP="009C5A01">
      <w:pPr>
        <w:pStyle w:val="Textederfrence"/>
      </w:pPr>
      <w:r w:rsidRPr="009C5A01">
        <w:rPr>
          <w:i/>
          <w:iCs/>
        </w:rPr>
        <w:t>Les conditions et modalités de l'option notamment, pour l'application du 6°, les modalités d'évaluation des bâtiments d'habitation lorsqu'ils ne font pas l'objet d'une location distincte, sont fixées par décret en Conseil d'État.</w:t>
      </w:r>
      <w:r>
        <w:t> »</w:t>
      </w:r>
    </w:p>
    <w:p w14:paraId="5FC0B325" w14:textId="68512CC9" w:rsidR="00EC7165" w:rsidRPr="00EC7165" w:rsidRDefault="00EC7165" w:rsidP="00EC7165">
      <w:r w:rsidRPr="00EC7165">
        <w:t xml:space="preserve">La loi donne la possibilité d’opter pour le régime de la TVA. </w:t>
      </w:r>
    </w:p>
    <w:p w14:paraId="0DE45C62" w14:textId="77777777" w:rsidR="00EC7165" w:rsidRDefault="00EC7165" w:rsidP="009C5A01">
      <w:pPr>
        <w:pStyle w:val="Exemple"/>
      </w:pPr>
      <w:r w:rsidRPr="00EC7165">
        <w:t>Les locations d’immeubles nus à usage professionnel, les opérations bancaires, les services fournis par les CT, les livraisons de terrains non à bâtir et les cessions d’immeubles achevés depuis plus de 5 ans.</w:t>
      </w:r>
    </w:p>
    <w:p w14:paraId="2B1D8AB8" w14:textId="77777777" w:rsidR="00EC7165" w:rsidRDefault="00EC7165" w:rsidP="00EC7165"/>
    <w:p w14:paraId="28F10CB9" w14:textId="77777777" w:rsidR="00EC7165" w:rsidRDefault="00EC7165" w:rsidP="00EC7165">
      <w:pPr>
        <w:pStyle w:val="Titre5"/>
      </w:pPr>
      <w:r>
        <w:t xml:space="preserve">b. Article 257 du CGI : la liste fixée par la Loi fiscale </w:t>
      </w:r>
    </w:p>
    <w:p w14:paraId="0C2A0324" w14:textId="77777777" w:rsidR="00EC7165" w:rsidRDefault="00EC7165" w:rsidP="00EC7165"/>
    <w:p w14:paraId="083E505D" w14:textId="026F77D0" w:rsidR="009C5A01" w:rsidRDefault="002376E6" w:rsidP="00EC7165">
      <w:hyperlink r:id="rId17" w:history="1">
        <w:r w:rsidR="009C5A01" w:rsidRPr="00E37E92">
          <w:rPr>
            <w:rStyle w:val="Lienhypertexte"/>
          </w:rPr>
          <w:t>L’article 257 du CGI</w:t>
        </w:r>
      </w:hyperlink>
      <w:r w:rsidR="009C5A01">
        <w:t xml:space="preserve"> détaille et fixe les opérations imposées par la loi. Voici les quelques opérations règlementées par la loi : </w:t>
      </w:r>
    </w:p>
    <w:p w14:paraId="231EDF7B" w14:textId="726DB319" w:rsidR="00EC7165" w:rsidRDefault="00EC7165" w:rsidP="009C5A01">
      <w:pPr>
        <w:pStyle w:val="Exemple"/>
      </w:pPr>
      <w:r>
        <w:t>Les livraisons d’immeubles neufs</w:t>
      </w:r>
      <w:r w:rsidR="009C5A01">
        <w:t xml:space="preserve"> ; </w:t>
      </w:r>
      <w:r>
        <w:t>Les ventes d’avions</w:t>
      </w:r>
      <w:r w:rsidR="00E37E92">
        <w:t xml:space="preserve"> (cessions d’aéronefs)</w:t>
      </w:r>
      <w:r w:rsidR="009C5A01">
        <w:t xml:space="preserve"> ; </w:t>
      </w:r>
      <w:r>
        <w:t>La contribution à l’audiovisuel public.</w:t>
      </w:r>
    </w:p>
    <w:p w14:paraId="554850CE" w14:textId="5250CBF9" w:rsidR="00EC7165" w:rsidRDefault="00EC7165" w:rsidP="00EC7165"/>
    <w:p w14:paraId="00ADE0D5" w14:textId="65C207AC" w:rsidR="00EC7165" w:rsidRDefault="00EC7165" w:rsidP="00EC7165">
      <w:pPr>
        <w:pStyle w:val="Titre5"/>
      </w:pPr>
      <w:r>
        <w:t xml:space="preserve">c. Article 256 B du CGI : les activités des personnes publiques </w:t>
      </w:r>
    </w:p>
    <w:p w14:paraId="5FAD306B" w14:textId="09541852" w:rsidR="00EC7165" w:rsidRDefault="00EC7165" w:rsidP="00EC7165"/>
    <w:p w14:paraId="70B05CD9" w14:textId="1672D933" w:rsidR="00E37E92" w:rsidRPr="00E37E92" w:rsidRDefault="002376E6" w:rsidP="00E37E92">
      <w:pPr>
        <w:pStyle w:val="Textederfrence"/>
        <w:rPr>
          <w:i/>
          <w:iCs/>
        </w:rPr>
      </w:pPr>
      <w:hyperlink r:id="rId18" w:history="1">
        <w:r w:rsidR="00E37E92" w:rsidRPr="00E37E92">
          <w:rPr>
            <w:rStyle w:val="Lienhypertexte"/>
          </w:rPr>
          <w:t>L’article 256 B du CGI</w:t>
        </w:r>
      </w:hyperlink>
      <w:r w:rsidR="00E37E92">
        <w:t xml:space="preserve"> énonce que : « </w:t>
      </w:r>
      <w:r w:rsidR="00E37E92" w:rsidRPr="00E37E92">
        <w:rPr>
          <w:i/>
          <w:iCs/>
        </w:rPr>
        <w:t>Les personnes morales de droit public ne sont pas assujetties à la taxe sur la valeur ajoutée pour l'activité de leurs services administratifs, sociaux, éducatifs, culturels et sportifs lorsque leur non-assujettissement n'entraîne pas de distorsions dans les conditions de la concurrence.</w:t>
      </w:r>
    </w:p>
    <w:p w14:paraId="38E6EFFC" w14:textId="77777777" w:rsidR="00E37E92" w:rsidRPr="00E37E92" w:rsidRDefault="00E37E92" w:rsidP="00E37E92">
      <w:pPr>
        <w:pStyle w:val="Textederfrence"/>
        <w:rPr>
          <w:i/>
          <w:iCs/>
        </w:rPr>
      </w:pPr>
      <w:r w:rsidRPr="00E37E92">
        <w:rPr>
          <w:i/>
          <w:iCs/>
        </w:rPr>
        <w:t>Ces personnes morales sont assujetties, en tout état de cause, pour les opérations suivantes :</w:t>
      </w:r>
    </w:p>
    <w:p w14:paraId="705D4ED1" w14:textId="77777777" w:rsidR="00451AD5" w:rsidRDefault="00E37E92" w:rsidP="00E37E92">
      <w:pPr>
        <w:pStyle w:val="Textederfrence"/>
        <w:rPr>
          <w:i/>
          <w:iCs/>
        </w:rPr>
      </w:pPr>
      <w:r w:rsidRPr="00E37E92">
        <w:rPr>
          <w:i/>
          <w:iCs/>
        </w:rPr>
        <w:t>Livraisons de biens neufs fabriqués en vue de la vente</w:t>
      </w:r>
      <w:r>
        <w:rPr>
          <w:i/>
          <w:iCs/>
        </w:rPr>
        <w:t> ;</w:t>
      </w:r>
    </w:p>
    <w:p w14:paraId="584A5889" w14:textId="50CA3A17" w:rsidR="00451AD5" w:rsidRDefault="00E37E92" w:rsidP="00E37E92">
      <w:pPr>
        <w:pStyle w:val="Textederfrence"/>
        <w:rPr>
          <w:i/>
          <w:iCs/>
        </w:rPr>
      </w:pPr>
      <w:r w:rsidRPr="00E37E92">
        <w:rPr>
          <w:i/>
          <w:iCs/>
        </w:rPr>
        <w:t>Distribution de gaz, d'électricité et d'énergie thermique</w:t>
      </w:r>
      <w:r>
        <w:rPr>
          <w:i/>
          <w:iCs/>
        </w:rPr>
        <w:t xml:space="preserve"> ; </w:t>
      </w:r>
    </w:p>
    <w:p w14:paraId="498595E2" w14:textId="77777777" w:rsidR="00451AD5" w:rsidRDefault="00E37E92" w:rsidP="00E37E92">
      <w:pPr>
        <w:pStyle w:val="Textederfrence"/>
        <w:rPr>
          <w:i/>
          <w:iCs/>
        </w:rPr>
      </w:pPr>
      <w:r w:rsidRPr="00E37E92">
        <w:rPr>
          <w:i/>
          <w:iCs/>
        </w:rPr>
        <w:t>Opérations des économats et établissements similaires</w:t>
      </w:r>
      <w:r>
        <w:rPr>
          <w:i/>
          <w:iCs/>
        </w:rPr>
        <w:t xml:space="preserve"> ; </w:t>
      </w:r>
    </w:p>
    <w:p w14:paraId="71022705" w14:textId="77777777" w:rsidR="00451AD5" w:rsidRDefault="00E37E92" w:rsidP="00E37E92">
      <w:pPr>
        <w:pStyle w:val="Textederfrence"/>
        <w:rPr>
          <w:i/>
          <w:iCs/>
        </w:rPr>
      </w:pPr>
      <w:r w:rsidRPr="00E37E92">
        <w:rPr>
          <w:i/>
          <w:iCs/>
        </w:rPr>
        <w:t>Transports de biens, à l'exception de ceux effectués par la Poste</w:t>
      </w:r>
      <w:r>
        <w:rPr>
          <w:i/>
          <w:iCs/>
        </w:rPr>
        <w:t xml:space="preserve"> ; </w:t>
      </w:r>
    </w:p>
    <w:p w14:paraId="75A18F79" w14:textId="77777777" w:rsidR="00451AD5" w:rsidRDefault="00E37E92" w:rsidP="00E37E92">
      <w:pPr>
        <w:pStyle w:val="Textederfrence"/>
        <w:rPr>
          <w:i/>
          <w:iCs/>
        </w:rPr>
      </w:pPr>
      <w:r w:rsidRPr="00E37E92">
        <w:rPr>
          <w:i/>
          <w:iCs/>
        </w:rPr>
        <w:t>Transports de personnes</w:t>
      </w:r>
      <w:r>
        <w:rPr>
          <w:i/>
          <w:iCs/>
        </w:rPr>
        <w:t> ;</w:t>
      </w:r>
      <w:r w:rsidR="00451AD5">
        <w:rPr>
          <w:i/>
          <w:iCs/>
        </w:rPr>
        <w:t xml:space="preserve"> </w:t>
      </w:r>
    </w:p>
    <w:p w14:paraId="6390890B" w14:textId="77777777" w:rsidR="00451AD5" w:rsidRDefault="00E37E92" w:rsidP="00E37E92">
      <w:pPr>
        <w:pStyle w:val="Textederfrence"/>
        <w:rPr>
          <w:i/>
          <w:iCs/>
        </w:rPr>
      </w:pPr>
      <w:r w:rsidRPr="00E37E92">
        <w:rPr>
          <w:i/>
          <w:iCs/>
        </w:rPr>
        <w:t>Opérations des organismes d'intervention agricoles portant sur les produits agricoles et effectuées en application des règlements portant organisation commune du marché de ces produits</w:t>
      </w:r>
      <w:r>
        <w:rPr>
          <w:i/>
          <w:iCs/>
        </w:rPr>
        <w:t xml:space="preserve"> ; </w:t>
      </w:r>
    </w:p>
    <w:p w14:paraId="301969D6" w14:textId="77777777" w:rsidR="00451AD5" w:rsidRDefault="00E37E92" w:rsidP="00E37E92">
      <w:pPr>
        <w:pStyle w:val="Textederfrence"/>
        <w:rPr>
          <w:i/>
          <w:iCs/>
        </w:rPr>
      </w:pPr>
      <w:r w:rsidRPr="00E37E92">
        <w:rPr>
          <w:i/>
          <w:iCs/>
        </w:rPr>
        <w:t>Organisation d'expositions à caractère commercial</w:t>
      </w:r>
      <w:r>
        <w:rPr>
          <w:i/>
          <w:iCs/>
        </w:rPr>
        <w:t xml:space="preserve"> ; </w:t>
      </w:r>
    </w:p>
    <w:p w14:paraId="0122A913" w14:textId="77777777" w:rsidR="00451AD5" w:rsidRDefault="00E37E92" w:rsidP="00E37E92">
      <w:pPr>
        <w:pStyle w:val="Textederfrence"/>
        <w:rPr>
          <w:i/>
          <w:iCs/>
        </w:rPr>
      </w:pPr>
      <w:r w:rsidRPr="00E37E92">
        <w:rPr>
          <w:i/>
          <w:iCs/>
        </w:rPr>
        <w:t>Prestations de services portuaires et aéroportuaires</w:t>
      </w:r>
      <w:r>
        <w:rPr>
          <w:i/>
          <w:iCs/>
        </w:rPr>
        <w:t xml:space="preserve"> ; </w:t>
      </w:r>
    </w:p>
    <w:p w14:paraId="507C484C" w14:textId="77777777" w:rsidR="00451AD5" w:rsidRDefault="00E37E92" w:rsidP="00E37E92">
      <w:pPr>
        <w:pStyle w:val="Textederfrence"/>
        <w:rPr>
          <w:i/>
          <w:iCs/>
        </w:rPr>
      </w:pPr>
      <w:r w:rsidRPr="00E37E92">
        <w:rPr>
          <w:i/>
          <w:iCs/>
        </w:rPr>
        <w:t>Entreposage de biens meubles</w:t>
      </w:r>
      <w:r>
        <w:rPr>
          <w:i/>
          <w:iCs/>
        </w:rPr>
        <w:t xml:space="preserve"> ; </w:t>
      </w:r>
    </w:p>
    <w:p w14:paraId="3A390600" w14:textId="77777777" w:rsidR="00451AD5" w:rsidRDefault="00E37E92" w:rsidP="00E37E92">
      <w:pPr>
        <w:pStyle w:val="Textederfrence"/>
        <w:rPr>
          <w:i/>
          <w:iCs/>
        </w:rPr>
      </w:pPr>
      <w:r w:rsidRPr="00E37E92">
        <w:rPr>
          <w:i/>
          <w:iCs/>
        </w:rPr>
        <w:lastRenderedPageBreak/>
        <w:t>Organisation de voyages et de séjours touristiques</w:t>
      </w:r>
      <w:r>
        <w:rPr>
          <w:i/>
          <w:iCs/>
        </w:rPr>
        <w:t xml:space="preserve"> ; </w:t>
      </w:r>
    </w:p>
    <w:p w14:paraId="533E950C" w14:textId="77777777" w:rsidR="00451AD5" w:rsidRDefault="00E37E92" w:rsidP="00E37E92">
      <w:pPr>
        <w:pStyle w:val="Textederfrence"/>
        <w:rPr>
          <w:i/>
          <w:iCs/>
        </w:rPr>
      </w:pPr>
      <w:r w:rsidRPr="00E37E92">
        <w:rPr>
          <w:i/>
          <w:iCs/>
        </w:rPr>
        <w:t>Diffusion ou redistribution de programmes de radiodiffusion ou de télévision</w:t>
      </w:r>
      <w:r>
        <w:rPr>
          <w:i/>
          <w:iCs/>
        </w:rPr>
        <w:t> ;</w:t>
      </w:r>
      <w:r w:rsidR="00451AD5">
        <w:rPr>
          <w:i/>
          <w:iCs/>
        </w:rPr>
        <w:t xml:space="preserve"> </w:t>
      </w:r>
    </w:p>
    <w:p w14:paraId="0F9E7A5E" w14:textId="3D57254B" w:rsidR="00E37E92" w:rsidRPr="00E37E92" w:rsidRDefault="00E37E92" w:rsidP="00E37E92">
      <w:pPr>
        <w:pStyle w:val="Textederfrence"/>
        <w:rPr>
          <w:i/>
          <w:iCs/>
        </w:rPr>
      </w:pPr>
      <w:r w:rsidRPr="00E37E92">
        <w:rPr>
          <w:i/>
          <w:iCs/>
        </w:rPr>
        <w:t>Télécommunications.</w:t>
      </w:r>
    </w:p>
    <w:p w14:paraId="7A35A647" w14:textId="501ABB70" w:rsidR="00E37E92" w:rsidRDefault="00E37E92" w:rsidP="00E37E92">
      <w:pPr>
        <w:pStyle w:val="Textederfrence"/>
      </w:pPr>
      <w:r w:rsidRPr="00E37E92">
        <w:rPr>
          <w:i/>
          <w:iCs/>
        </w:rPr>
        <w:t>Fourniture d'eau dans les communes d'au moins 3.000 habitants ou par les établissements publics de coopération intercommunale dont le champ d'action s'exerce sur un territoire d'au moins 3.000 habitants.</w:t>
      </w:r>
      <w:r>
        <w:t> »</w:t>
      </w:r>
    </w:p>
    <w:p w14:paraId="0A68F89C" w14:textId="7FB71395" w:rsidR="00EC7165" w:rsidRDefault="00EC7165" w:rsidP="00EC7165">
      <w:r>
        <w:t xml:space="preserve">Si </w:t>
      </w:r>
      <w:r w:rsidRPr="00EC7165">
        <w:t>elles n’étaient pas assujetties</w:t>
      </w:r>
      <w:r w:rsidR="00E37E92">
        <w:t xml:space="preserve"> à la TVA sur la vente de services notamment (distribution de gaz ; électricité ou autre)</w:t>
      </w:r>
      <w:r w:rsidRPr="00EC7165">
        <w:t xml:space="preserve">, </w:t>
      </w:r>
      <w:r w:rsidR="00E37E92">
        <w:t xml:space="preserve">cela </w:t>
      </w:r>
      <w:r w:rsidRPr="00EC7165">
        <w:t>constituerai</w:t>
      </w:r>
      <w:r w:rsidR="00E37E92">
        <w:t>t</w:t>
      </w:r>
      <w:r w:rsidRPr="00EC7165">
        <w:t xml:space="preserve"> des distorsions de concurrence</w:t>
      </w:r>
      <w:r w:rsidR="00E37E92">
        <w:t xml:space="preserve">. </w:t>
      </w:r>
    </w:p>
    <w:p w14:paraId="03727272" w14:textId="589D2B3F" w:rsidR="00EC7165" w:rsidRDefault="00EC7165" w:rsidP="00EC7165"/>
    <w:p w14:paraId="2090F3B2" w14:textId="1128668F" w:rsidR="00EC7165" w:rsidRDefault="00EC7165" w:rsidP="00EC7165">
      <w:pPr>
        <w:pStyle w:val="Titre5"/>
      </w:pPr>
      <w:r>
        <w:t>d.</w:t>
      </w:r>
      <w:r w:rsidR="00E37E92">
        <w:t xml:space="preserve"> A</w:t>
      </w:r>
      <w:r>
        <w:t>rticle 293 B du CGI</w:t>
      </w:r>
      <w:r w:rsidR="00E37E92">
        <w:t> : Les microentreprises</w:t>
      </w:r>
    </w:p>
    <w:p w14:paraId="52A83594" w14:textId="55F32F46" w:rsidR="00EC7165" w:rsidRDefault="00EC7165" w:rsidP="00EC7165"/>
    <w:p w14:paraId="4F315F21" w14:textId="3FF5B8C4" w:rsidR="00514CF7" w:rsidRDefault="002376E6" w:rsidP="00514CF7">
      <w:hyperlink r:id="rId19" w:history="1">
        <w:r w:rsidR="00514CF7" w:rsidRPr="00514CF7">
          <w:rPr>
            <w:rStyle w:val="Lienhypertexte"/>
          </w:rPr>
          <w:t>L’article 293 B du CGI</w:t>
        </w:r>
      </w:hyperlink>
      <w:r w:rsidR="00514CF7">
        <w:t xml:space="preserve"> précise que pour les microentreprises, elles peuvent décider d’encaisser la TVA pour la déduire par la suite. Cela permet d’avantager la trésorerie ce qui n’est pas négligeable. </w:t>
      </w:r>
    </w:p>
    <w:p w14:paraId="50BE1EE8" w14:textId="74E22B10" w:rsidR="008302C7" w:rsidRDefault="008302C7" w:rsidP="00514CF7">
      <w:r>
        <w:t xml:space="preserve">La </w:t>
      </w:r>
      <w:r w:rsidRPr="00A85847">
        <w:rPr>
          <w:b/>
          <w:bCs/>
          <w:color w:val="832C6A"/>
        </w:rPr>
        <w:t>loi de finances pour 2022</w:t>
      </w:r>
      <w:r>
        <w:t xml:space="preserve"> ne modifie pas la substance du texte, mais seulement les dispositions applicables à l’encontre des assujetties établis en Guadeloupe, en Martinique et à La Réunion. </w:t>
      </w:r>
    </w:p>
    <w:p w14:paraId="15335DA2" w14:textId="77777777" w:rsidR="00514CF7" w:rsidRDefault="00514CF7" w:rsidP="00514CF7"/>
    <w:p w14:paraId="1C0BF943" w14:textId="0C73BD49" w:rsidR="00EC7165" w:rsidRDefault="00EC7165" w:rsidP="00514CF7">
      <w:pPr>
        <w:pStyle w:val="Titre3"/>
      </w:pPr>
      <w:r>
        <w:t xml:space="preserve">B. Le champ </w:t>
      </w:r>
      <w:r w:rsidRPr="00514CF7">
        <w:t>d’application</w:t>
      </w:r>
      <w:r>
        <w:t xml:space="preserve"> territorial </w:t>
      </w:r>
    </w:p>
    <w:p w14:paraId="7CA461B8" w14:textId="4945CDDF" w:rsidR="00EC7165" w:rsidRDefault="00EC7165" w:rsidP="00EC7165"/>
    <w:p w14:paraId="525CDAD3" w14:textId="1B8B78C5" w:rsidR="00EC7165" w:rsidRDefault="00EC7165" w:rsidP="00EC7165">
      <w:r>
        <w:t xml:space="preserve">Pour que la TVA soit due, il ne suffit pas qu’il s’agisse de vente de biens ou </w:t>
      </w:r>
      <w:r w:rsidR="00A85847">
        <w:t xml:space="preserve">de </w:t>
      </w:r>
      <w:r>
        <w:t>services mais il faut aussi que l’opération soit localisée sur le territoire national</w:t>
      </w:r>
      <w:r w:rsidR="003E03F4">
        <w:t xml:space="preserve">, comportant un caractère territorial. </w:t>
      </w:r>
    </w:p>
    <w:p w14:paraId="55AC4F49" w14:textId="003B0276" w:rsidR="00546A08" w:rsidRDefault="00546A08" w:rsidP="00EC7165">
      <w:r>
        <w:t xml:space="preserve">Ce sont les </w:t>
      </w:r>
      <w:hyperlink r:id="rId20" w:anchor="LEGISCTA000006179645" w:history="1">
        <w:r w:rsidRPr="00546A08">
          <w:rPr>
            <w:rStyle w:val="Lienhypertexte"/>
          </w:rPr>
          <w:t>articles 258 à 259 D du CGI</w:t>
        </w:r>
      </w:hyperlink>
      <w:r>
        <w:t xml:space="preserve"> qui régissent la territorialité de la TVA. </w:t>
      </w:r>
    </w:p>
    <w:p w14:paraId="74887791" w14:textId="325FFC8C" w:rsidR="00EC7165" w:rsidRDefault="00EC7165" w:rsidP="00EC7165"/>
    <w:p w14:paraId="27685EE7" w14:textId="5B677FF7" w:rsidR="00EC7165" w:rsidRDefault="00EC7165" w:rsidP="00EC7165">
      <w:pPr>
        <w:pStyle w:val="Titre4"/>
      </w:pPr>
      <w:r>
        <w:t xml:space="preserve">1. Les livraison de biens meubles corporels </w:t>
      </w:r>
    </w:p>
    <w:p w14:paraId="2CA504C4" w14:textId="26DFD9CF" w:rsidR="00EC7165" w:rsidRDefault="00EC7165" w:rsidP="00EC7165"/>
    <w:p w14:paraId="74B3A08E" w14:textId="344BC18C" w:rsidR="00EC7165" w:rsidRDefault="00EC7165" w:rsidP="00EC7165">
      <w:pPr>
        <w:pStyle w:val="Titre5"/>
      </w:pPr>
      <w:r>
        <w:t xml:space="preserve">a. Pour les livraisons de France dans un autre État membre </w:t>
      </w:r>
    </w:p>
    <w:p w14:paraId="06F5C137" w14:textId="1D021EA5" w:rsidR="00EC7165" w:rsidRDefault="00EC7165" w:rsidP="00EC7165"/>
    <w:p w14:paraId="755E543D" w14:textId="4C021A07" w:rsidR="00EC7165" w:rsidRDefault="00EC7165" w:rsidP="00EC7165">
      <w:r>
        <w:t>La TVA est prélevée dans le pays de destination et non en France mais il faut que le client ait un numéro d’identification à la TVA. C’est le numéro de TVA intracommunautaire. En cas d’absence d’identification, la TVA est payée en France.</w:t>
      </w:r>
    </w:p>
    <w:p w14:paraId="07AD6593" w14:textId="7F33F41F" w:rsidR="008D6CAC" w:rsidRDefault="008D6CAC" w:rsidP="00EC7165">
      <w:r>
        <w:t xml:space="preserve">Si le bien est expédié à partir de la France, notamment vers un autre État membre, la </w:t>
      </w:r>
      <w:r w:rsidRPr="004A019C">
        <w:rPr>
          <w:b/>
          <w:bCs/>
        </w:rPr>
        <w:t>TVA française est donc applicable</w:t>
      </w:r>
      <w:r>
        <w:t xml:space="preserve">. </w:t>
      </w:r>
    </w:p>
    <w:p w14:paraId="5038A912" w14:textId="28BB03AA" w:rsidR="00EC7165" w:rsidRDefault="00EC7165" w:rsidP="00EC7165"/>
    <w:p w14:paraId="2988485B" w14:textId="04B6EBE4" w:rsidR="00EC7165" w:rsidRDefault="00EC7165" w:rsidP="00EC7165">
      <w:pPr>
        <w:pStyle w:val="Titre5"/>
      </w:pPr>
      <w:r>
        <w:t xml:space="preserve">b. Pour les acquisitions intracommunautaires </w:t>
      </w:r>
    </w:p>
    <w:p w14:paraId="08D72248" w14:textId="404ACBDE" w:rsidR="00EC7165" w:rsidRDefault="00EC7165" w:rsidP="00EC7165"/>
    <w:p w14:paraId="764E1EF8" w14:textId="10A3956A" w:rsidR="00EC7165" w:rsidRDefault="00EC7165" w:rsidP="00EC7165">
      <w:r>
        <w:t>La taxation se fait dans le pays de destination (la France) qui encaissera la TVA.</w:t>
      </w:r>
      <w:r w:rsidR="008D6CAC">
        <w:t xml:space="preserve"> </w:t>
      </w:r>
      <w:r>
        <w:t>Là aussi, le numéro de TVA est indispensable.</w:t>
      </w:r>
    </w:p>
    <w:p w14:paraId="2E06FA6B" w14:textId="5CC1AB1E" w:rsidR="00EC7165" w:rsidRDefault="00EC7165" w:rsidP="00EC7165">
      <w:r>
        <w:t>En cas d’absence d’identification, la TVA est payée dans le pays d’origine.</w:t>
      </w:r>
    </w:p>
    <w:p w14:paraId="0CCE8C59" w14:textId="6AEADBC4" w:rsidR="00EC7165" w:rsidRDefault="00EC7165" w:rsidP="00EC7165"/>
    <w:p w14:paraId="4EFDD933" w14:textId="7B7D1F56" w:rsidR="00EC7165" w:rsidRDefault="00EC7165" w:rsidP="00EC7165">
      <w:pPr>
        <w:pStyle w:val="Titre5"/>
      </w:pPr>
      <w:r>
        <w:t xml:space="preserve">c. Pour les régimes spécifiques pour les opérations réalisés par les particuliers </w:t>
      </w:r>
    </w:p>
    <w:p w14:paraId="36AD948F" w14:textId="3C2905DF" w:rsidR="00EC7165" w:rsidRDefault="00EC7165" w:rsidP="00EC7165"/>
    <w:p w14:paraId="362EB02C" w14:textId="77777777" w:rsidR="008D6CAC" w:rsidRDefault="00EC7165" w:rsidP="00EC7165">
      <w:r w:rsidRPr="00EC7165">
        <w:t xml:space="preserve">Pour les moyens de transports neufs comme les voitures, bateaux ou avions, la TVA appliquée est celle du pays de destination pour éviter les distorsions. </w:t>
      </w:r>
    </w:p>
    <w:p w14:paraId="25E87558" w14:textId="77777777" w:rsidR="008D6CAC" w:rsidRDefault="00EC7165" w:rsidP="008D6CAC">
      <w:pPr>
        <w:pStyle w:val="Exemple"/>
      </w:pPr>
      <w:r w:rsidRPr="00EC7165">
        <w:t xml:space="preserve">Si ce sont des acheteurs français et que les voitures sont allemandes, la TVA est payée en France. </w:t>
      </w:r>
    </w:p>
    <w:p w14:paraId="7BD69025" w14:textId="77777777" w:rsidR="008D6CAC" w:rsidRDefault="00EC7165" w:rsidP="008D6CAC">
      <w:pPr>
        <w:pStyle w:val="Exemple"/>
      </w:pPr>
      <w:r w:rsidRPr="00EC7165">
        <w:t xml:space="preserve">Si ce sont des acheteurs allemands de voitures françaises, la TVA sera payée en Allemagne. </w:t>
      </w:r>
    </w:p>
    <w:p w14:paraId="10521F70" w14:textId="77777777" w:rsidR="008D6CAC" w:rsidRDefault="00EC7165" w:rsidP="008D6CAC">
      <w:r w:rsidRPr="00EC7165">
        <w:t xml:space="preserve">Dès que le véhicule a plus de 6 mois et plus de 6000 km, il est </w:t>
      </w:r>
      <w:r w:rsidR="008D6CAC">
        <w:t xml:space="preserve">considéré comme être </w:t>
      </w:r>
      <w:r w:rsidRPr="00EC7165">
        <w:t xml:space="preserve">d’occasion et </w:t>
      </w:r>
      <w:r w:rsidR="008D6CAC">
        <w:t xml:space="preserve">est </w:t>
      </w:r>
      <w:r w:rsidRPr="00EC7165">
        <w:t xml:space="preserve">donc exonéré pour un particulier. En revanche pour un véhicule d’occasion acheté à un professionnel, on applique la règle de l’État d’origine. </w:t>
      </w:r>
    </w:p>
    <w:p w14:paraId="0432BE77" w14:textId="2E7BABD1" w:rsidR="00EC7165" w:rsidRDefault="00EC7165" w:rsidP="001B4D5E">
      <w:pPr>
        <w:pStyle w:val="Remarque"/>
      </w:pPr>
      <w:r w:rsidRPr="00EC7165">
        <w:t>Pour la vente à distance, depuis 2016, on applique la TVA française pour des ventes en provenance des autres États membres de l’UE dès lors que le total des ventes de l’opérateur dépasse 35 000 €. Les autres États appliquent la même règle.</w:t>
      </w:r>
      <w:r w:rsidR="004F3AFF">
        <w:t xml:space="preserve"> </w:t>
      </w:r>
      <w:r w:rsidR="004F3AFF">
        <w:br/>
        <w:t xml:space="preserve">La vente à distance se caractérise par trois caractéristiques : </w:t>
      </w:r>
    </w:p>
    <w:p w14:paraId="384A85D3" w14:textId="77777777" w:rsidR="001B4D5E" w:rsidRDefault="004F3AFF" w:rsidP="001B4D5E">
      <w:pPr>
        <w:pStyle w:val="Remarque"/>
        <w:numPr>
          <w:ilvl w:val="0"/>
          <w:numId w:val="24"/>
        </w:numPr>
      </w:pPr>
      <w:r>
        <w:t xml:space="preserve">La livraison porte sur des biens expédiés ou transportés par le vendeur ou pour son compte, à destination de l’acquéreur. </w:t>
      </w:r>
    </w:p>
    <w:p w14:paraId="6BB1B716" w14:textId="77777777" w:rsidR="001B4D5E" w:rsidRDefault="004F3AFF" w:rsidP="001B4D5E">
      <w:pPr>
        <w:pStyle w:val="Remarque"/>
        <w:numPr>
          <w:ilvl w:val="0"/>
          <w:numId w:val="24"/>
        </w:numPr>
      </w:pPr>
      <w:r>
        <w:t xml:space="preserve">La livraison est faite de France vers un autre État membre, ou inversement d’un autre État </w:t>
      </w:r>
      <w:r w:rsidRPr="001B4D5E">
        <w:t>membre</w:t>
      </w:r>
      <w:r>
        <w:t xml:space="preserve"> vers la France. </w:t>
      </w:r>
    </w:p>
    <w:p w14:paraId="298F21D7" w14:textId="647EB34F" w:rsidR="004F3AFF" w:rsidRDefault="004F3AFF" w:rsidP="001B4D5E">
      <w:pPr>
        <w:pStyle w:val="Remarque"/>
        <w:numPr>
          <w:ilvl w:val="0"/>
          <w:numId w:val="24"/>
        </w:numPr>
      </w:pPr>
      <w:r>
        <w:t xml:space="preserve">L’acquéreur est un particulier. </w:t>
      </w:r>
    </w:p>
    <w:p w14:paraId="2F8303BF" w14:textId="503383A3" w:rsidR="00EC7165" w:rsidRDefault="00EC7165" w:rsidP="00EC7165"/>
    <w:p w14:paraId="634DE878" w14:textId="213BDBA5" w:rsidR="00EC7165" w:rsidRDefault="00EC7165" w:rsidP="00EC7165">
      <w:pPr>
        <w:pStyle w:val="Titre5"/>
      </w:pPr>
      <w:r>
        <w:t xml:space="preserve">d. Pour les importations et exportations entre la France et les États hors UE </w:t>
      </w:r>
    </w:p>
    <w:p w14:paraId="1065FD18" w14:textId="77777777" w:rsidR="00EC7165" w:rsidRPr="00EC7165" w:rsidRDefault="00EC7165" w:rsidP="00EC7165"/>
    <w:p w14:paraId="3A257876" w14:textId="19B6078D" w:rsidR="00B26F0C" w:rsidRDefault="00B26F0C" w:rsidP="00EC7165">
      <w:r>
        <w:t xml:space="preserve">Les échanges extracommunautaires résultent d’opérations réalisées avec des pays tiers. </w:t>
      </w:r>
    </w:p>
    <w:p w14:paraId="4A6A2BE5" w14:textId="50A88F4F" w:rsidR="00B26F0C" w:rsidRDefault="00B26F0C" w:rsidP="00EC7165">
      <w:r>
        <w:t>Concernant l</w:t>
      </w:r>
      <w:r w:rsidR="00EC7165">
        <w:t>es exportations</w:t>
      </w:r>
      <w:r>
        <w:t xml:space="preserve"> vers des pays hors de l’UE, celles-ci</w:t>
      </w:r>
      <w:r w:rsidR="00EC7165">
        <w:t xml:space="preserve"> se font </w:t>
      </w:r>
      <w:r>
        <w:t xml:space="preserve">le plus souvent </w:t>
      </w:r>
      <w:r w:rsidR="00EC7165">
        <w:t>hors TVA</w:t>
      </w:r>
      <w:r>
        <w:t>, en raison de l’exonération selon des règles spécifique</w:t>
      </w:r>
      <w:r w:rsidR="00625641">
        <w:t xml:space="preserve">s, prévu à </w:t>
      </w:r>
      <w:hyperlink r:id="rId21" w:history="1">
        <w:r w:rsidR="00625641" w:rsidRPr="00625641">
          <w:rPr>
            <w:rStyle w:val="Lienhypertexte"/>
          </w:rPr>
          <w:t>l’article 262, I du CGI</w:t>
        </w:r>
      </w:hyperlink>
      <w:r w:rsidR="00625641">
        <w:t xml:space="preserve">. </w:t>
      </w:r>
    </w:p>
    <w:p w14:paraId="29C19168" w14:textId="27CD340F" w:rsidR="00EC7165" w:rsidRDefault="00EC7165" w:rsidP="00EC7165">
      <w:r>
        <w:t>Les importations</w:t>
      </w:r>
      <w:r w:rsidR="00B26F0C">
        <w:t xml:space="preserve"> provenant de pays tiers</w:t>
      </w:r>
      <w:r>
        <w:t xml:space="preserve"> sont</w:t>
      </w:r>
      <w:r w:rsidR="00B26F0C">
        <w:t>,</w:t>
      </w:r>
      <w:r>
        <w:t xml:space="preserve"> au contraire</w:t>
      </w:r>
      <w:r w:rsidR="00B26F0C">
        <w:t>,</w:t>
      </w:r>
      <w:r>
        <w:t xml:space="preserve"> soumises</w:t>
      </w:r>
      <w:r w:rsidR="00B26F0C">
        <w:t xml:space="preserve"> en principe</w:t>
      </w:r>
      <w:r>
        <w:t xml:space="preserve"> à la TVA française</w:t>
      </w:r>
      <w:r w:rsidR="00B26F0C">
        <w:t xml:space="preserve"> comme le prévoit </w:t>
      </w:r>
      <w:hyperlink r:id="rId22" w:history="1">
        <w:r w:rsidR="00625641">
          <w:rPr>
            <w:rStyle w:val="Lienhypertexte"/>
          </w:rPr>
          <w:t>l’article 291, I du CGI</w:t>
        </w:r>
      </w:hyperlink>
      <w:r w:rsidR="00B26F0C">
        <w:t xml:space="preserve">. </w:t>
      </w:r>
    </w:p>
    <w:p w14:paraId="0CD30046" w14:textId="4156617B" w:rsidR="00EC7165" w:rsidRDefault="00EC7165" w:rsidP="00EC7165"/>
    <w:p w14:paraId="29E685AD" w14:textId="4BF4631E" w:rsidR="00EC7165" w:rsidRDefault="00EC7165" w:rsidP="00EC7165">
      <w:pPr>
        <w:pStyle w:val="Titre4"/>
      </w:pPr>
      <w:r>
        <w:t xml:space="preserve">2. Les prestations de services </w:t>
      </w:r>
    </w:p>
    <w:p w14:paraId="798B55E1" w14:textId="2F6A22FF" w:rsidR="00EC7165" w:rsidRDefault="00EC7165" w:rsidP="00EC7165"/>
    <w:p w14:paraId="051F45FB" w14:textId="72D37F45" w:rsidR="00EC7165" w:rsidRDefault="00EC7165" w:rsidP="00EC7165">
      <w:r>
        <w:t xml:space="preserve">Cela peut être beaucoup plus compliqué car une prestation de service se déroule dans la durée. </w:t>
      </w:r>
    </w:p>
    <w:p w14:paraId="36C66870" w14:textId="51FBFD43" w:rsidR="000B2959" w:rsidRDefault="000B2959" w:rsidP="00EC7165">
      <w:r>
        <w:t xml:space="preserve">Les critères d’application territoriale de la TVA sont déterminés par référence au lieu où ces opérations sont réputées se situer. </w:t>
      </w:r>
    </w:p>
    <w:p w14:paraId="0FB446A2" w14:textId="12066555" w:rsidR="00004287" w:rsidRDefault="00004287" w:rsidP="00EC7165"/>
    <w:p w14:paraId="1A6A355D" w14:textId="62F0D99D" w:rsidR="00004287" w:rsidRDefault="00004287" w:rsidP="00004287">
      <w:pPr>
        <w:pStyle w:val="Titre5"/>
      </w:pPr>
      <w:r>
        <w:t xml:space="preserve">a. Le </w:t>
      </w:r>
      <w:r w:rsidRPr="00E1011D">
        <w:rPr>
          <w:color w:val="832C6A"/>
        </w:rPr>
        <w:t>principe</w:t>
      </w:r>
      <w:r>
        <w:t xml:space="preserve"> général </w:t>
      </w:r>
    </w:p>
    <w:p w14:paraId="4CD94C21" w14:textId="43AB5532" w:rsidR="00004287" w:rsidRDefault="00004287" w:rsidP="00EC7165"/>
    <w:p w14:paraId="149156F3" w14:textId="64DA1966" w:rsidR="00004287" w:rsidRDefault="00004287" w:rsidP="00004287">
      <w:r w:rsidRPr="007D1601">
        <w:rPr>
          <w:b/>
          <w:bCs/>
          <w:color w:val="832C6A"/>
        </w:rPr>
        <w:lastRenderedPageBreak/>
        <w:t>Depuis 2010</w:t>
      </w:r>
      <w:r>
        <w:t xml:space="preserve">, le législateur prévoit que la TVA française s’applique aux prestations de services qui ont eu lieu en France. </w:t>
      </w:r>
      <w:r w:rsidR="00F64DBE">
        <w:t xml:space="preserve">En revanche, si la prestation est fournie hors de France, appelé aussi opération « extraterritoriale », la </w:t>
      </w:r>
      <w:r w:rsidR="00F64DBE" w:rsidRPr="00E04A82">
        <w:rPr>
          <w:b/>
          <w:bCs/>
        </w:rPr>
        <w:t>TVA française n’est pas applicable</w:t>
      </w:r>
      <w:r w:rsidR="00F64DBE">
        <w:t xml:space="preserve">. </w:t>
      </w:r>
    </w:p>
    <w:p w14:paraId="01475CCD" w14:textId="1BF8BCD5" w:rsidR="00F64DBE" w:rsidRPr="007339C0" w:rsidRDefault="00F64DBE" w:rsidP="00004287">
      <w:pPr>
        <w:rPr>
          <w:color w:val="000000" w:themeColor="text1"/>
        </w:rPr>
      </w:pPr>
      <w:r w:rsidRPr="007339C0">
        <w:rPr>
          <w:color w:val="000000" w:themeColor="text1"/>
        </w:rPr>
        <w:t xml:space="preserve">Il convient de distinguer toutefois que la prestation ait été fournie par un assujetti ou à un non assujetti. </w:t>
      </w:r>
    </w:p>
    <w:p w14:paraId="1E1DD189" w14:textId="33260C87" w:rsidR="00BF7F45" w:rsidRPr="007339C0" w:rsidRDefault="00F64DBE" w:rsidP="00004287">
      <w:pPr>
        <w:rPr>
          <w:color w:val="000000" w:themeColor="text1"/>
        </w:rPr>
      </w:pPr>
      <w:r w:rsidRPr="007339C0">
        <w:rPr>
          <w:color w:val="000000" w:themeColor="text1"/>
        </w:rPr>
        <w:t>Si la prestation de services est fournie à une personne assujettie</w:t>
      </w:r>
      <w:r w:rsidR="00BF7F45" w:rsidRPr="007339C0">
        <w:rPr>
          <w:color w:val="000000" w:themeColor="text1"/>
        </w:rPr>
        <w:t xml:space="preserve"> et réputée être en France si (</w:t>
      </w:r>
      <w:hyperlink r:id="rId23" w:history="1">
        <w:r w:rsidR="00BF7F45" w:rsidRPr="00805EF3">
          <w:rPr>
            <w:rStyle w:val="Lienhypertexte"/>
          </w:rPr>
          <w:t>article 259, 1° du CGI</w:t>
        </w:r>
      </w:hyperlink>
      <w:r w:rsidR="00BF7F45" w:rsidRPr="007339C0">
        <w:rPr>
          <w:color w:val="000000" w:themeColor="text1"/>
        </w:rPr>
        <w:t>) :</w:t>
      </w:r>
    </w:p>
    <w:p w14:paraId="46912A2B" w14:textId="5F3B1068" w:rsidR="00BF7F45" w:rsidRPr="007339C0" w:rsidRDefault="00BF7F45" w:rsidP="00BF7F45">
      <w:pPr>
        <w:pStyle w:val="Paragraphedeliste"/>
        <w:numPr>
          <w:ilvl w:val="0"/>
          <w:numId w:val="22"/>
        </w:numPr>
        <w:rPr>
          <w:color w:val="000000" w:themeColor="text1"/>
        </w:rPr>
      </w:pPr>
      <w:r w:rsidRPr="007339C0">
        <w:rPr>
          <w:color w:val="000000" w:themeColor="text1"/>
        </w:rPr>
        <w:t xml:space="preserve">Le siège de son activité économique, sauf lorsqu’il dispose d’un établissement stable non situé en France auquel les services sont fournis ; </w:t>
      </w:r>
    </w:p>
    <w:p w14:paraId="77F14383" w14:textId="098F2F28" w:rsidR="00BF7F45" w:rsidRPr="007339C0" w:rsidRDefault="00BF7F45" w:rsidP="00BF7F45">
      <w:pPr>
        <w:pStyle w:val="Paragraphedeliste"/>
        <w:numPr>
          <w:ilvl w:val="0"/>
          <w:numId w:val="22"/>
        </w:numPr>
        <w:rPr>
          <w:color w:val="000000" w:themeColor="text1"/>
        </w:rPr>
      </w:pPr>
      <w:r w:rsidRPr="007339C0">
        <w:rPr>
          <w:color w:val="000000" w:themeColor="text1"/>
        </w:rPr>
        <w:t xml:space="preserve">Ou un établissement stable auquel les services sont fournis ; </w:t>
      </w:r>
    </w:p>
    <w:p w14:paraId="4B67A498" w14:textId="77777777" w:rsidR="00BF7F45" w:rsidRPr="007339C0" w:rsidRDefault="00BF7F45" w:rsidP="00BF7F45">
      <w:pPr>
        <w:pStyle w:val="Paragraphedeliste"/>
        <w:numPr>
          <w:ilvl w:val="0"/>
          <w:numId w:val="22"/>
        </w:numPr>
        <w:rPr>
          <w:color w:val="000000" w:themeColor="text1"/>
        </w:rPr>
      </w:pPr>
      <w:r w:rsidRPr="007339C0">
        <w:rPr>
          <w:color w:val="000000" w:themeColor="text1"/>
        </w:rPr>
        <w:t>Ou, à défaut, son domicile ou sa résidence habituelle.</w:t>
      </w:r>
    </w:p>
    <w:p w14:paraId="0E706995" w14:textId="54560FEA" w:rsidR="00BF7F45" w:rsidRPr="007339C0" w:rsidRDefault="00BF7F45" w:rsidP="00BF7F45">
      <w:pPr>
        <w:rPr>
          <w:color w:val="000000" w:themeColor="text1"/>
        </w:rPr>
      </w:pPr>
      <w:r w:rsidRPr="007339C0">
        <w:rPr>
          <w:color w:val="000000" w:themeColor="text1"/>
        </w:rPr>
        <w:t>Si la prestation de services est fournie à un preneur non assujetti est réputée être en France lorsque le prestataire : (</w:t>
      </w:r>
      <w:hyperlink r:id="rId24" w:history="1">
        <w:r w:rsidRPr="00E61981">
          <w:rPr>
            <w:rStyle w:val="Lienhypertexte"/>
          </w:rPr>
          <w:t>article 259, 2° du CGI</w:t>
        </w:r>
      </w:hyperlink>
      <w:r w:rsidRPr="007339C0">
        <w:rPr>
          <w:color w:val="000000" w:themeColor="text1"/>
        </w:rPr>
        <w:t xml:space="preserve">) </w:t>
      </w:r>
    </w:p>
    <w:p w14:paraId="04AD75E7" w14:textId="4AA68A99" w:rsidR="00BF7F45" w:rsidRPr="007339C0" w:rsidRDefault="00BF7F45" w:rsidP="00BF7F45">
      <w:pPr>
        <w:pStyle w:val="Paragraphedeliste"/>
        <w:numPr>
          <w:ilvl w:val="0"/>
          <w:numId w:val="23"/>
        </w:numPr>
        <w:rPr>
          <w:color w:val="000000" w:themeColor="text1"/>
        </w:rPr>
      </w:pPr>
      <w:r w:rsidRPr="007339C0">
        <w:rPr>
          <w:color w:val="000000" w:themeColor="text1"/>
        </w:rPr>
        <w:t xml:space="preserve">A établi en France le siège </w:t>
      </w:r>
      <w:r w:rsidR="001B4D5E" w:rsidRPr="007339C0">
        <w:rPr>
          <w:color w:val="000000" w:themeColor="text1"/>
        </w:rPr>
        <w:t xml:space="preserve">de son activité économique, sauf s’il dispose d’un établissement stable non situé en France à partir duquel les services sont fournis ; </w:t>
      </w:r>
    </w:p>
    <w:p w14:paraId="741B36FC" w14:textId="63C7B0B8" w:rsidR="001B4D5E" w:rsidRPr="007339C0" w:rsidRDefault="001B4D5E" w:rsidP="00BF7F45">
      <w:pPr>
        <w:pStyle w:val="Paragraphedeliste"/>
        <w:numPr>
          <w:ilvl w:val="0"/>
          <w:numId w:val="23"/>
        </w:numPr>
        <w:rPr>
          <w:color w:val="000000" w:themeColor="text1"/>
        </w:rPr>
      </w:pPr>
      <w:r w:rsidRPr="007339C0">
        <w:rPr>
          <w:color w:val="000000" w:themeColor="text1"/>
        </w:rPr>
        <w:t>Ou dispose d’un établissement stable en France à partir duquel les services sont fournis ;</w:t>
      </w:r>
    </w:p>
    <w:p w14:paraId="7ED35D47" w14:textId="4A11BF66" w:rsidR="001B4D5E" w:rsidRPr="007339C0" w:rsidRDefault="001B4D5E" w:rsidP="00BF7F45">
      <w:pPr>
        <w:pStyle w:val="Paragraphedeliste"/>
        <w:numPr>
          <w:ilvl w:val="0"/>
          <w:numId w:val="23"/>
        </w:numPr>
        <w:rPr>
          <w:color w:val="000000" w:themeColor="text1"/>
        </w:rPr>
      </w:pPr>
      <w:r w:rsidRPr="007339C0">
        <w:rPr>
          <w:color w:val="000000" w:themeColor="text1"/>
        </w:rPr>
        <w:t xml:space="preserve">Ou, à défaut, a en France son domicile ou sa résidence habituelle. </w:t>
      </w:r>
    </w:p>
    <w:p w14:paraId="65E142F8" w14:textId="0DD30235" w:rsidR="00004287" w:rsidRDefault="00004287" w:rsidP="00004287"/>
    <w:p w14:paraId="7308641F" w14:textId="2AFEEE50" w:rsidR="00004287" w:rsidRDefault="00004287" w:rsidP="00004287">
      <w:pPr>
        <w:pStyle w:val="Titre5"/>
      </w:pPr>
      <w:r>
        <w:t xml:space="preserve">b. Les dérogations </w:t>
      </w:r>
    </w:p>
    <w:p w14:paraId="3E0BCAD1" w14:textId="6570855F" w:rsidR="00004287" w:rsidRDefault="00004287" w:rsidP="00004287"/>
    <w:p w14:paraId="7B90071E" w14:textId="2BD6F6B2" w:rsidR="004C6953" w:rsidRPr="00583F39" w:rsidRDefault="004C6953" w:rsidP="00004287">
      <w:pPr>
        <w:rPr>
          <w:color w:val="000000" w:themeColor="text1"/>
        </w:rPr>
      </w:pPr>
      <w:r w:rsidRPr="00583F39">
        <w:rPr>
          <w:color w:val="000000" w:themeColor="text1"/>
        </w:rPr>
        <w:t xml:space="preserve">En vertu de </w:t>
      </w:r>
      <w:hyperlink r:id="rId25" w:history="1">
        <w:r w:rsidRPr="00E61981">
          <w:rPr>
            <w:rStyle w:val="Lienhypertexte"/>
          </w:rPr>
          <w:t>l’article 259 A du CGI</w:t>
        </w:r>
      </w:hyperlink>
      <w:r w:rsidRPr="00583F39">
        <w:rPr>
          <w:color w:val="000000" w:themeColor="text1"/>
        </w:rPr>
        <w:t xml:space="preserve"> des règles particulières, dérogeant à </w:t>
      </w:r>
      <w:hyperlink r:id="rId26" w:history="1">
        <w:r w:rsidRPr="00BE66D8">
          <w:rPr>
            <w:rStyle w:val="Lienhypertexte"/>
          </w:rPr>
          <w:t>l’article 259</w:t>
        </w:r>
      </w:hyperlink>
      <w:r w:rsidRPr="00583F39">
        <w:rPr>
          <w:color w:val="000000" w:themeColor="text1"/>
        </w:rPr>
        <w:t xml:space="preserve"> du même code, sont prévues pour les locations de moyens de transport</w:t>
      </w:r>
      <w:r w:rsidR="00BD3423" w:rsidRPr="00583F39">
        <w:rPr>
          <w:color w:val="000000" w:themeColor="text1"/>
        </w:rPr>
        <w:t xml:space="preserve"> au 1° du présent article</w:t>
      </w:r>
      <w:r w:rsidRPr="00583F39">
        <w:rPr>
          <w:color w:val="000000" w:themeColor="text1"/>
        </w:rPr>
        <w:t xml:space="preserve"> : </w:t>
      </w:r>
    </w:p>
    <w:p w14:paraId="67693A48" w14:textId="2AFFCBDF" w:rsidR="004C6953" w:rsidRPr="00583F39" w:rsidRDefault="004C6953" w:rsidP="004C6953">
      <w:pPr>
        <w:pStyle w:val="Paragraphedeliste"/>
        <w:numPr>
          <w:ilvl w:val="0"/>
          <w:numId w:val="28"/>
        </w:numPr>
        <w:rPr>
          <w:color w:val="000000" w:themeColor="text1"/>
        </w:rPr>
      </w:pPr>
      <w:r w:rsidRPr="00BE66D8">
        <w:rPr>
          <w:b/>
          <w:bCs/>
          <w:color w:val="000000" w:themeColor="text1"/>
        </w:rPr>
        <w:t>Le lieu des locations</w:t>
      </w:r>
      <w:r w:rsidRPr="00583F39">
        <w:rPr>
          <w:color w:val="000000" w:themeColor="text1"/>
        </w:rPr>
        <w:t xml:space="preserve"> (de courte durée) se situe en France si le moyen de transport est effectivement mis à disposition en France. </w:t>
      </w:r>
    </w:p>
    <w:p w14:paraId="7E9490FE" w14:textId="70C2E4CD" w:rsidR="001107C1" w:rsidRPr="00583F39" w:rsidRDefault="004C6953" w:rsidP="001107C1">
      <w:pPr>
        <w:pStyle w:val="Paragraphedeliste"/>
        <w:numPr>
          <w:ilvl w:val="0"/>
          <w:numId w:val="28"/>
        </w:numPr>
        <w:rPr>
          <w:color w:val="000000" w:themeColor="text1"/>
        </w:rPr>
      </w:pPr>
      <w:r w:rsidRPr="00BE66D8">
        <w:rPr>
          <w:b/>
          <w:bCs/>
          <w:color w:val="000000" w:themeColor="text1"/>
        </w:rPr>
        <w:t>Les locations de transports</w:t>
      </w:r>
      <w:r w:rsidRPr="00583F39">
        <w:rPr>
          <w:color w:val="000000" w:themeColor="text1"/>
        </w:rPr>
        <w:t xml:space="preserve"> (autres que courte durée)</w:t>
      </w:r>
      <w:r w:rsidR="001107C1" w:rsidRPr="00583F39">
        <w:rPr>
          <w:color w:val="000000" w:themeColor="text1"/>
        </w:rPr>
        <w:t> :</w:t>
      </w:r>
      <w:r w:rsidR="001107C1" w:rsidRPr="00583F39">
        <w:rPr>
          <w:color w:val="000000" w:themeColor="text1"/>
        </w:rPr>
        <w:br/>
        <w:t xml:space="preserve">- Si elles sont fournies à des preneurs assujettis, c’est la règle générale qui s’applique. </w:t>
      </w:r>
      <w:r w:rsidR="001107C1" w:rsidRPr="00583F39">
        <w:rPr>
          <w:color w:val="000000" w:themeColor="text1"/>
        </w:rPr>
        <w:br/>
        <w:t xml:space="preserve">- Si elles sont fournies à des </w:t>
      </w:r>
      <w:r w:rsidR="001107C1" w:rsidRPr="00BE66D8">
        <w:rPr>
          <w:color w:val="000000" w:themeColor="text1"/>
        </w:rPr>
        <w:t>preneurs non assujettis</w:t>
      </w:r>
      <w:r w:rsidR="001107C1" w:rsidRPr="00583F39">
        <w:rPr>
          <w:color w:val="000000" w:themeColor="text1"/>
        </w:rPr>
        <w:t xml:space="preserve"> </w:t>
      </w:r>
      <w:r w:rsidR="001107C1" w:rsidRPr="00BE66D8">
        <w:rPr>
          <w:color w:val="000000" w:themeColor="text1"/>
          <w:u w:val="single"/>
        </w:rPr>
        <w:t>portant sur des moyens de transports autres que des bateaux de plaisance</w:t>
      </w:r>
      <w:r w:rsidR="001107C1" w:rsidRPr="00583F39">
        <w:rPr>
          <w:color w:val="000000" w:themeColor="text1"/>
        </w:rPr>
        <w:t xml:space="preserve">, le lieu est situé en France lorsque le preneur est établi ou domicilié en France ou établie en dehors de l’UE mais que l’utilisation ou l’exploitation effective se situe en France. </w:t>
      </w:r>
      <w:r w:rsidR="001107C1" w:rsidRPr="00583F39">
        <w:rPr>
          <w:color w:val="000000" w:themeColor="text1"/>
        </w:rPr>
        <w:br/>
      </w:r>
      <w:r w:rsidR="00BE66D8">
        <w:rPr>
          <w:color w:val="000000" w:themeColor="text1"/>
        </w:rPr>
        <w:br/>
      </w:r>
      <w:r w:rsidR="001107C1" w:rsidRPr="00583F39">
        <w:rPr>
          <w:color w:val="000000" w:themeColor="text1"/>
        </w:rPr>
        <w:t xml:space="preserve">Si elles sont </w:t>
      </w:r>
      <w:r w:rsidR="001107C1" w:rsidRPr="00BE66D8">
        <w:rPr>
          <w:color w:val="000000" w:themeColor="text1"/>
        </w:rPr>
        <w:t>fournies à des preneurs non assujettis</w:t>
      </w:r>
      <w:r w:rsidR="001107C1" w:rsidRPr="00583F39">
        <w:rPr>
          <w:color w:val="000000" w:themeColor="text1"/>
        </w:rPr>
        <w:t xml:space="preserve"> </w:t>
      </w:r>
      <w:r w:rsidR="001107C1" w:rsidRPr="00BE66D8">
        <w:rPr>
          <w:color w:val="000000" w:themeColor="text1"/>
          <w:u w:val="single"/>
        </w:rPr>
        <w:t>portant sur des bateaux de plaisance</w:t>
      </w:r>
      <w:r w:rsidR="00BD3423" w:rsidRPr="00583F39">
        <w:rPr>
          <w:color w:val="000000" w:themeColor="text1"/>
        </w:rPr>
        <w:t xml:space="preserve">, le lieu est situé en France si : le preneur est établi ou domicilié en France ; preneur est établi à l’étranger ; le prestataire est établi en France et le bateau est effectivement mis à disposition en France ; le preneur est établi dans un autre État membre ; etc… </w:t>
      </w:r>
    </w:p>
    <w:p w14:paraId="35BE5F52" w14:textId="2D407C50" w:rsidR="00BD3423" w:rsidRPr="00583F39" w:rsidRDefault="00BD3423" w:rsidP="00BD3423">
      <w:pPr>
        <w:rPr>
          <w:color w:val="000000" w:themeColor="text1"/>
        </w:rPr>
      </w:pPr>
      <w:r w:rsidRPr="00583F39">
        <w:rPr>
          <w:color w:val="000000" w:themeColor="text1"/>
        </w:rPr>
        <w:t>De plus, l’article poursuit en énonçant d’autres dérogation</w:t>
      </w:r>
      <w:r w:rsidR="00BE66D8">
        <w:rPr>
          <w:color w:val="000000" w:themeColor="text1"/>
        </w:rPr>
        <w:t xml:space="preserve">s </w:t>
      </w:r>
      <w:r w:rsidRPr="00583F39">
        <w:rPr>
          <w:color w:val="000000" w:themeColor="text1"/>
        </w:rPr>
        <w:t xml:space="preserve">notamment sur les prestations se rattachant </w:t>
      </w:r>
      <w:r w:rsidR="008C0F7B" w:rsidRPr="00583F39">
        <w:rPr>
          <w:color w:val="000000" w:themeColor="text1"/>
        </w:rPr>
        <w:t>à un immeuble</w:t>
      </w:r>
      <w:r w:rsidR="00BE66D8">
        <w:rPr>
          <w:color w:val="000000" w:themeColor="text1"/>
        </w:rPr>
        <w:t xml:space="preserve"> situé en France</w:t>
      </w:r>
      <w:r w:rsidR="008C0F7B" w:rsidRPr="00583F39">
        <w:rPr>
          <w:color w:val="000000" w:themeColor="text1"/>
        </w:rPr>
        <w:t xml:space="preserve"> (</w:t>
      </w:r>
      <w:hyperlink r:id="rId27" w:history="1">
        <w:r w:rsidR="008C0F7B" w:rsidRPr="00BE66D8">
          <w:rPr>
            <w:rStyle w:val="Lienhypertexte"/>
          </w:rPr>
          <w:t>article 259 A, 2° du CGI</w:t>
        </w:r>
      </w:hyperlink>
      <w:r w:rsidR="008C0F7B" w:rsidRPr="00583F39">
        <w:rPr>
          <w:color w:val="000000" w:themeColor="text1"/>
        </w:rPr>
        <w:t>), ou encore les ventes à consommer sur place (</w:t>
      </w:r>
      <w:hyperlink r:id="rId28" w:history="1">
        <w:r w:rsidR="008C0F7B" w:rsidRPr="00BE66D8">
          <w:rPr>
            <w:rStyle w:val="Lienhypertexte"/>
          </w:rPr>
          <w:t>article 259 A, 5°, b du CGI</w:t>
        </w:r>
      </w:hyperlink>
      <w:r w:rsidR="008C0F7B" w:rsidRPr="00583F39">
        <w:rPr>
          <w:color w:val="000000" w:themeColor="text1"/>
        </w:rPr>
        <w:t xml:space="preserve">). </w:t>
      </w:r>
    </w:p>
    <w:p w14:paraId="5E22CFA9" w14:textId="77777777" w:rsidR="00BE66D8" w:rsidRDefault="00004287" w:rsidP="001B4D5E">
      <w:pPr>
        <w:pStyle w:val="Remarque"/>
      </w:pPr>
      <w:r w:rsidRPr="001B4D5E">
        <w:t>La Cour des comptes, dans son rapport de novembre 2019</w:t>
      </w:r>
      <w:r w:rsidR="00BE66D8">
        <w:t>,</w:t>
      </w:r>
      <w:r w:rsidRPr="001B4D5E">
        <w:t xml:space="preserve"> sur la fraude aux prélèvements obligatoires</w:t>
      </w:r>
      <w:r w:rsidR="00BE66D8">
        <w:t xml:space="preserve">, </w:t>
      </w:r>
      <w:r w:rsidRPr="001B4D5E">
        <w:t xml:space="preserve">critique le degré de complexité de la norme fiscale. </w:t>
      </w:r>
      <w:hyperlink r:id="rId29" w:history="1">
        <w:r w:rsidRPr="001B4D5E">
          <w:rPr>
            <w:rStyle w:val="Lienhypertexte"/>
          </w:rPr>
          <w:t>L’article 269 du CGI</w:t>
        </w:r>
      </w:hyperlink>
      <w:r w:rsidRPr="001B4D5E">
        <w:t xml:space="preserve"> précise le fait générateur et la date d’exigibilité de la TVA. Pour les </w:t>
      </w:r>
      <w:r w:rsidRPr="00BE66D8">
        <w:rPr>
          <w:b/>
          <w:bCs/>
          <w:color w:val="832C6A"/>
        </w:rPr>
        <w:t>livraisons de biens</w:t>
      </w:r>
      <w:r w:rsidRPr="001B4D5E">
        <w:t xml:space="preserve">, les deux coïncident, donc il n’y a pas de difficultés. </w:t>
      </w:r>
    </w:p>
    <w:p w14:paraId="68827821" w14:textId="788571C3" w:rsidR="00004287" w:rsidRPr="001B4D5E" w:rsidRDefault="00004287" w:rsidP="001B4D5E">
      <w:pPr>
        <w:pStyle w:val="Remarque"/>
      </w:pPr>
      <w:r w:rsidRPr="001B4D5E">
        <w:t xml:space="preserve">En revanche, pour les </w:t>
      </w:r>
      <w:r w:rsidRPr="00BE66D8">
        <w:rPr>
          <w:b/>
          <w:bCs/>
          <w:color w:val="832C6A"/>
        </w:rPr>
        <w:t>prestations de services</w:t>
      </w:r>
      <w:r w:rsidRPr="001B4D5E">
        <w:t xml:space="preserve">, la Cour signale de très nombreuses difficultés découlant du décalage entre la date du fait générateur et la date d’exigibilité. Les redevables de bonne foi, qui sont souvent des petites entreprises, peuvent commettre des erreurs. Des fraudeurs peuvent également utiliser les lacunes de la réglementation pour mettre en place des </w:t>
      </w:r>
      <w:r w:rsidRPr="001B4D5E">
        <w:rPr>
          <w:b/>
          <w:bCs/>
          <w:color w:val="832C6B"/>
        </w:rPr>
        <w:t xml:space="preserve">stratégies </w:t>
      </w:r>
      <w:r w:rsidRPr="001B4D5E">
        <w:rPr>
          <w:b/>
          <w:bCs/>
          <w:color w:val="832C6B"/>
        </w:rPr>
        <w:lastRenderedPageBreak/>
        <w:t>frauduleuses</w:t>
      </w:r>
      <w:r w:rsidRPr="001B4D5E">
        <w:t xml:space="preserve"> d’optimisation de la trésorerie. </w:t>
      </w:r>
      <w:r w:rsidR="00BE66D8">
        <w:br/>
      </w:r>
      <w:r w:rsidRPr="001B4D5E">
        <w:t>La Cour s’interroge sur la distinction entre le régime applicable aux livraisons de biens et le régime des prestations services et trouve qu’elle devrait être remise en cause afin de simplifier le droit applicable.</w:t>
      </w:r>
    </w:p>
    <w:p w14:paraId="6ADBBD70" w14:textId="3B3B6D97" w:rsidR="004C6953" w:rsidRDefault="00004287" w:rsidP="004C6953">
      <w:pPr>
        <w:pStyle w:val="Exemple"/>
      </w:pPr>
      <w:r w:rsidRPr="00C11AB9">
        <w:rPr>
          <w:b/>
          <w:u w:val="single"/>
        </w:rPr>
        <w:t>Cas pratique </w:t>
      </w:r>
      <w:r>
        <w:t xml:space="preserve">: Depuis </w:t>
      </w:r>
      <w:r w:rsidR="001B4D5E">
        <w:t xml:space="preserve">plus </w:t>
      </w:r>
      <w:r>
        <w:t xml:space="preserve">de 10 ans les </w:t>
      </w:r>
      <w:r w:rsidRPr="001B4D5E">
        <w:rPr>
          <w:b/>
          <w:bCs/>
          <w:color w:val="832C6B"/>
        </w:rPr>
        <w:t>éleveurs de porcs français</w:t>
      </w:r>
      <w:r>
        <w:t xml:space="preserve"> (surtout bretons) dénoncent les pratiques de </w:t>
      </w:r>
      <w:r w:rsidRPr="001B4D5E">
        <w:t>l’Allemagne</w:t>
      </w:r>
      <w:r>
        <w:t xml:space="preserve"> qui a donné une interprétation favorable du régime forfaitaire de la </w:t>
      </w:r>
      <w:hyperlink r:id="rId30" w:history="1">
        <w:r w:rsidRPr="001B4D5E">
          <w:rPr>
            <w:rStyle w:val="Lienhypertexte"/>
          </w:rPr>
          <w:t>directive n°2006/112/CE du 28 novembre 2006</w:t>
        </w:r>
      </w:hyperlink>
      <w:r>
        <w:t>. Normalement, la directive fait une distinction entre les petites et les grandes entreprises de production. Mais l’Allemagne accorde les mêmes avantages fiscaux aux petites et aux grandes entreprises. Le résultat est que</w:t>
      </w:r>
      <w:r w:rsidR="00BE66D8">
        <w:t xml:space="preserve">, </w:t>
      </w:r>
      <w:r>
        <w:t xml:space="preserve">pour chaque porc allemand produit, le gain est de 2€ en moyenne. Ce qui fait pour une entreprise un avantage de 15 000 € par an, soit 200 millions chaque année pour les éleveurs porcins allemands. Cette interprétation a été dénoncée mais les producteurs français n’ont pas été écoutés. Ils ont donc créé en 2015 le </w:t>
      </w:r>
      <w:r w:rsidRPr="004C6953">
        <w:rPr>
          <w:b/>
          <w:bCs/>
          <w:color w:val="832C6B"/>
        </w:rPr>
        <w:t xml:space="preserve">collectif contre le </w:t>
      </w:r>
      <w:r w:rsidR="005E2369">
        <w:rPr>
          <w:b/>
          <w:bCs/>
          <w:color w:val="832C6B"/>
        </w:rPr>
        <w:t>d</w:t>
      </w:r>
      <w:r w:rsidRPr="004C6953">
        <w:rPr>
          <w:b/>
          <w:bCs/>
          <w:color w:val="832C6B"/>
        </w:rPr>
        <w:t>umping fiscal</w:t>
      </w:r>
      <w:r>
        <w:t xml:space="preserve"> en Europe. Ils ont déposé une plainte sur deux bases juridiques :</w:t>
      </w:r>
    </w:p>
    <w:p w14:paraId="3F754700" w14:textId="6C05CAA4" w:rsidR="004C6953" w:rsidRDefault="004C6953" w:rsidP="004C6953">
      <w:pPr>
        <w:pStyle w:val="Exemple"/>
        <w:numPr>
          <w:ilvl w:val="0"/>
          <w:numId w:val="25"/>
        </w:numPr>
      </w:pPr>
      <w:r>
        <w:rPr>
          <w:bCs/>
        </w:rPr>
        <w:t>L</w:t>
      </w:r>
      <w:r w:rsidR="00004287">
        <w:t>’atteinte à la concurrence</w:t>
      </w:r>
      <w:r>
        <w:t>.</w:t>
      </w:r>
      <w:r w:rsidR="00004287">
        <w:t xml:space="preserve"> </w:t>
      </w:r>
    </w:p>
    <w:p w14:paraId="4E4FF20D" w14:textId="68BA6B31" w:rsidR="004C6953" w:rsidRDefault="004C6953" w:rsidP="004C6953">
      <w:pPr>
        <w:pStyle w:val="Exemple"/>
        <w:numPr>
          <w:ilvl w:val="0"/>
          <w:numId w:val="25"/>
        </w:numPr>
      </w:pPr>
      <w:r>
        <w:t>L</w:t>
      </w:r>
      <w:r w:rsidR="00004287">
        <w:t>a violation du principe d’égalité</w:t>
      </w:r>
      <w:r>
        <w:t xml:space="preserve"> devant la loi. </w:t>
      </w:r>
      <w:r w:rsidR="00004287">
        <w:t xml:space="preserve"> </w:t>
      </w:r>
    </w:p>
    <w:p w14:paraId="23450C8B" w14:textId="77777777" w:rsidR="004C6953" w:rsidRDefault="00004287" w:rsidP="004C6953">
      <w:pPr>
        <w:pStyle w:val="Exemple"/>
      </w:pPr>
      <w:r>
        <w:t>La Commission a donc ouvert en 2018 une procédure contre l’Allemagne reprenant ces motifs</w:t>
      </w:r>
      <w:r w:rsidR="004C6953">
        <w:t>, ainsi</w:t>
      </w:r>
      <w:r>
        <w:t xml:space="preserve"> </w:t>
      </w:r>
      <w:r w:rsidR="004C6953">
        <w:t>qu’</w:t>
      </w:r>
      <w:r>
        <w:t xml:space="preserve">une seconde plainte pour aide d’État. </w:t>
      </w:r>
    </w:p>
    <w:p w14:paraId="2A374E9A" w14:textId="1B5B40A0" w:rsidR="00004287" w:rsidRDefault="00004287" w:rsidP="006972EC">
      <w:pPr>
        <w:pStyle w:val="Exemple"/>
      </w:pPr>
      <w:r>
        <w:t xml:space="preserve">Le 24 janvier 2019, la COM a envoyé un </w:t>
      </w:r>
      <w:hyperlink r:id="rId31" w:history="1">
        <w:r w:rsidRPr="00E130E0">
          <w:rPr>
            <w:rStyle w:val="Lienhypertexte"/>
          </w:rPr>
          <w:t>avis motivé à l’</w:t>
        </w:r>
        <w:r w:rsidR="00E130E0" w:rsidRPr="00E130E0">
          <w:rPr>
            <w:rStyle w:val="Lienhypertexte"/>
          </w:rPr>
          <w:t>Allemagne (point 15)</w:t>
        </w:r>
      </w:hyperlink>
      <w:r>
        <w:t xml:space="preserve"> avec menace de saisir la CJUE. Le 23 avril 2019, la Cour des comptes allemande a dénoncé ces pratiques. La question est en cours et repose sur une interprétation de la Directive européenne. </w:t>
      </w:r>
    </w:p>
    <w:p w14:paraId="224A7780" w14:textId="3984FDF8" w:rsidR="006972EC" w:rsidRDefault="002376E6" w:rsidP="006972EC">
      <w:pPr>
        <w:pStyle w:val="Ensavoirplus"/>
      </w:pPr>
      <w:hyperlink r:id="rId32" w:history="1">
        <w:r w:rsidR="006972EC" w:rsidRPr="002819B7">
          <w:rPr>
            <w:rStyle w:val="Lienhypertexte"/>
          </w:rPr>
          <w:t>https://www.paysan-breton.fr/2019/05/dumping-fiscal-agricole-la-cour-des-comptes-allemande-denonce/</w:t>
        </w:r>
      </w:hyperlink>
    </w:p>
    <w:p w14:paraId="285542AF" w14:textId="061C32FD" w:rsidR="004D665E" w:rsidRDefault="004D665E" w:rsidP="00004287">
      <w:r>
        <w:rPr>
          <w:noProof/>
        </w:rPr>
        <w:lastRenderedPageBreak/>
        <w:drawing>
          <wp:inline distT="0" distB="0" distL="0" distR="0" wp14:anchorId="02DCB52F" wp14:editId="6971F527">
            <wp:extent cx="5760720" cy="7680960"/>
            <wp:effectExtent l="0" t="0" r="508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1D4D49E4" w14:textId="33FC51CB" w:rsidR="004D665E" w:rsidRDefault="004D665E" w:rsidP="00004287"/>
    <w:p w14:paraId="6BA09194" w14:textId="5D77F956" w:rsidR="002D78C5" w:rsidRDefault="002D78C5" w:rsidP="002D78C5">
      <w:pPr>
        <w:pStyle w:val="Titre5"/>
      </w:pPr>
      <w:r>
        <w:t>IMAGE 3544</w:t>
      </w:r>
    </w:p>
    <w:p w14:paraId="09FDD1FB" w14:textId="1CB180F7" w:rsidR="002D78C5" w:rsidRDefault="002D78C5" w:rsidP="002D78C5">
      <w:r>
        <w:t xml:space="preserve">Dessin d’Albert DUBOUT, extrait du magnifique ouvrage : </w:t>
      </w:r>
      <w:r w:rsidRPr="001A603E">
        <w:rPr>
          <w:i/>
          <w:iCs/>
        </w:rPr>
        <w:t>Code des impôts</w:t>
      </w:r>
      <w:r>
        <w:t xml:space="preserve">, éditions Michèle TRINCKVEL, 1993, page 128. </w:t>
      </w:r>
    </w:p>
    <w:p w14:paraId="71DAA2B3" w14:textId="77777777" w:rsidR="002D78C5" w:rsidRPr="00004287" w:rsidRDefault="002D78C5" w:rsidP="00004287"/>
    <w:p w14:paraId="5C0DD681" w14:textId="258181B8" w:rsidR="00004287" w:rsidRPr="00004287" w:rsidRDefault="00004287" w:rsidP="00004287">
      <w:pPr>
        <w:pStyle w:val="Titre2"/>
      </w:pPr>
      <w:r w:rsidRPr="00004287">
        <w:lastRenderedPageBreak/>
        <w:t xml:space="preserve">§2. </w:t>
      </w:r>
      <w:r>
        <w:t xml:space="preserve">Les biens et services </w:t>
      </w:r>
      <w:r w:rsidRPr="00004287">
        <w:t>exonérés</w:t>
      </w:r>
      <w:r>
        <w:t xml:space="preserve"> </w:t>
      </w:r>
    </w:p>
    <w:p w14:paraId="1F88AC61" w14:textId="745A35F9" w:rsidR="00004287" w:rsidRDefault="00004287" w:rsidP="00004287"/>
    <w:p w14:paraId="276D6287" w14:textId="72AB6303" w:rsidR="00004287" w:rsidRPr="00453140" w:rsidRDefault="00004287" w:rsidP="00004287">
      <w:pPr>
        <w:rPr>
          <w:lang w:eastAsia="fr-FR"/>
        </w:rPr>
      </w:pPr>
      <w:r w:rsidRPr="00453140">
        <w:rPr>
          <w:lang w:eastAsia="fr-FR"/>
        </w:rPr>
        <w:t>De nombreux secteurs sont exonérés de la TVA</w:t>
      </w:r>
      <w:r w:rsidR="00C559E0">
        <w:rPr>
          <w:lang w:eastAsia="fr-FR"/>
        </w:rPr>
        <w:t xml:space="preserve"> et sont exposés aux </w:t>
      </w:r>
      <w:hyperlink r:id="rId34" w:anchor="LEGISCTA000006179649" w:history="1">
        <w:r w:rsidR="00C559E0" w:rsidRPr="00C559E0">
          <w:rPr>
            <w:rStyle w:val="Lienhypertexte"/>
          </w:rPr>
          <w:t>articles 261 et suivants du Code général des impôts</w:t>
        </w:r>
      </w:hyperlink>
      <w:r w:rsidRPr="00453140">
        <w:rPr>
          <w:lang w:eastAsia="fr-FR"/>
        </w:rPr>
        <w:t>. Parmi ceux-ci figurent :</w:t>
      </w:r>
    </w:p>
    <w:p w14:paraId="6C1CD252" w14:textId="48531D3A" w:rsidR="00004287" w:rsidRDefault="00004287" w:rsidP="00004287">
      <w:pPr>
        <w:pStyle w:val="Paragraphedeliste"/>
        <w:numPr>
          <w:ilvl w:val="0"/>
          <w:numId w:val="5"/>
        </w:numPr>
        <w:rPr>
          <w:rFonts w:eastAsia="Times New Roman"/>
          <w:lang w:eastAsia="fr-FR"/>
        </w:rPr>
      </w:pPr>
      <w:r>
        <w:rPr>
          <w:rFonts w:eastAsia="Times New Roman"/>
          <w:lang w:eastAsia="fr-FR"/>
        </w:rPr>
        <w:t>L</w:t>
      </w:r>
      <w:r w:rsidRPr="00004287">
        <w:rPr>
          <w:rFonts w:eastAsia="Times New Roman"/>
          <w:lang w:eastAsia="fr-FR"/>
        </w:rPr>
        <w:t>es objets vendus d’occasion (</w:t>
      </w:r>
      <w:hyperlink r:id="rId35" w:history="1">
        <w:r w:rsidR="00CB144A">
          <w:rPr>
            <w:rStyle w:val="Lienhypertexte"/>
          </w:rPr>
          <w:t>Article 261, 3, 1° du CGI</w:t>
        </w:r>
      </w:hyperlink>
      <w:r w:rsidRPr="00004287">
        <w:rPr>
          <w:rFonts w:eastAsia="Times New Roman"/>
          <w:lang w:eastAsia="fr-FR"/>
        </w:rPr>
        <w:t>)</w:t>
      </w:r>
      <w:r>
        <w:rPr>
          <w:rFonts w:eastAsia="Times New Roman"/>
          <w:lang w:eastAsia="fr-FR"/>
        </w:rPr>
        <w:t>.</w:t>
      </w:r>
    </w:p>
    <w:p w14:paraId="39F01775" w14:textId="44800A29" w:rsidR="00004287" w:rsidRDefault="00004287" w:rsidP="00004287">
      <w:pPr>
        <w:pStyle w:val="Paragraphedeliste"/>
        <w:numPr>
          <w:ilvl w:val="0"/>
          <w:numId w:val="5"/>
        </w:numPr>
        <w:rPr>
          <w:rFonts w:eastAsia="Times New Roman"/>
          <w:lang w:eastAsia="fr-FR"/>
        </w:rPr>
      </w:pPr>
      <w:r>
        <w:rPr>
          <w:rFonts w:eastAsia="Times New Roman"/>
          <w:lang w:eastAsia="fr-FR"/>
        </w:rPr>
        <w:t>L</w:t>
      </w:r>
      <w:r w:rsidRPr="00004287">
        <w:rPr>
          <w:rFonts w:eastAsia="Times New Roman"/>
          <w:lang w:eastAsia="fr-FR"/>
        </w:rPr>
        <w:t>es activités et soins médicaux et paramédicaux (</w:t>
      </w:r>
      <w:hyperlink r:id="rId36" w:history="1">
        <w:r w:rsidR="00C559E0" w:rsidRPr="00C559E0">
          <w:rPr>
            <w:rStyle w:val="Lienhypertexte"/>
          </w:rPr>
          <w:t>A</w:t>
        </w:r>
        <w:r w:rsidRPr="00C559E0">
          <w:rPr>
            <w:rStyle w:val="Lienhypertexte"/>
            <w:lang w:eastAsia="fr-FR"/>
          </w:rPr>
          <w:t>rticle 261</w:t>
        </w:r>
        <w:r w:rsidR="00C559E0" w:rsidRPr="00C559E0">
          <w:rPr>
            <w:rStyle w:val="Lienhypertexte"/>
          </w:rPr>
          <w:t>, 4, 1°</w:t>
        </w:r>
        <w:r w:rsidRPr="00C559E0">
          <w:rPr>
            <w:rStyle w:val="Lienhypertexte"/>
            <w:lang w:eastAsia="fr-FR"/>
          </w:rPr>
          <w:t> du CGI</w:t>
        </w:r>
      </w:hyperlink>
      <w:r w:rsidRPr="00004287">
        <w:rPr>
          <w:rFonts w:eastAsia="Times New Roman"/>
          <w:lang w:eastAsia="fr-FR"/>
        </w:rPr>
        <w:t>)</w:t>
      </w:r>
      <w:r>
        <w:rPr>
          <w:rFonts w:eastAsia="Times New Roman"/>
          <w:lang w:eastAsia="fr-FR"/>
        </w:rPr>
        <w:t>.</w:t>
      </w:r>
    </w:p>
    <w:p w14:paraId="077DC6B2" w14:textId="2436342A" w:rsidR="00004287" w:rsidRDefault="00004287" w:rsidP="00004287">
      <w:pPr>
        <w:pStyle w:val="Paragraphedeliste"/>
        <w:numPr>
          <w:ilvl w:val="0"/>
          <w:numId w:val="5"/>
        </w:numPr>
        <w:rPr>
          <w:rFonts w:eastAsia="Times New Roman"/>
          <w:lang w:eastAsia="fr-FR"/>
        </w:rPr>
      </w:pPr>
      <w:r>
        <w:rPr>
          <w:rFonts w:eastAsia="Times New Roman"/>
          <w:lang w:eastAsia="fr-FR"/>
        </w:rPr>
        <w:t>L</w:t>
      </w:r>
      <w:r w:rsidRPr="00004287">
        <w:rPr>
          <w:rFonts w:eastAsia="Times New Roman"/>
          <w:lang w:eastAsia="fr-FR"/>
        </w:rPr>
        <w:t>es activités d’enseignement scolaire et universitaire (</w:t>
      </w:r>
      <w:hyperlink r:id="rId37" w:history="1">
        <w:r w:rsidR="00C559E0" w:rsidRPr="00C559E0">
          <w:rPr>
            <w:rStyle w:val="Lienhypertexte"/>
          </w:rPr>
          <w:t>A</w:t>
        </w:r>
        <w:r w:rsidRPr="00C559E0">
          <w:rPr>
            <w:rStyle w:val="Lienhypertexte"/>
            <w:lang w:eastAsia="fr-FR"/>
          </w:rPr>
          <w:t>rticle 261</w:t>
        </w:r>
        <w:r w:rsidR="00C559E0" w:rsidRPr="00C559E0">
          <w:rPr>
            <w:rStyle w:val="Lienhypertexte"/>
          </w:rPr>
          <w:t>, 4, 4°</w:t>
        </w:r>
        <w:r w:rsidRPr="00C559E0">
          <w:rPr>
            <w:rStyle w:val="Lienhypertexte"/>
            <w:lang w:eastAsia="fr-FR"/>
          </w:rPr>
          <w:t xml:space="preserve"> du CGI</w:t>
        </w:r>
      </w:hyperlink>
      <w:r w:rsidRPr="00004287">
        <w:rPr>
          <w:rFonts w:eastAsia="Times New Roman"/>
          <w:lang w:eastAsia="fr-FR"/>
        </w:rPr>
        <w:t>)</w:t>
      </w:r>
      <w:r>
        <w:rPr>
          <w:rFonts w:eastAsia="Times New Roman"/>
          <w:lang w:eastAsia="fr-FR"/>
        </w:rPr>
        <w:t>.</w:t>
      </w:r>
    </w:p>
    <w:p w14:paraId="70D33DBC" w14:textId="4F84DF40" w:rsidR="00004287" w:rsidRDefault="00004287" w:rsidP="00004287">
      <w:pPr>
        <w:pStyle w:val="Paragraphedeliste"/>
        <w:numPr>
          <w:ilvl w:val="0"/>
          <w:numId w:val="5"/>
        </w:numPr>
        <w:rPr>
          <w:rFonts w:eastAsia="Times New Roman"/>
          <w:lang w:eastAsia="fr-FR"/>
        </w:rPr>
      </w:pPr>
      <w:r>
        <w:rPr>
          <w:rFonts w:eastAsia="Times New Roman"/>
          <w:lang w:eastAsia="fr-FR"/>
        </w:rPr>
        <w:t>L</w:t>
      </w:r>
      <w:r w:rsidRPr="00004287">
        <w:rPr>
          <w:rFonts w:eastAsia="Times New Roman"/>
          <w:lang w:eastAsia="fr-FR"/>
        </w:rPr>
        <w:t>es opérations du secteur bancaire et de l’assurance (</w:t>
      </w:r>
      <w:hyperlink r:id="rId38" w:history="1">
        <w:r w:rsidR="00CB144A">
          <w:rPr>
            <w:rStyle w:val="Lienhypertexte"/>
            <w:lang w:eastAsia="fr-FR"/>
          </w:rPr>
          <w:t>Article 261 C, 1° du CGI</w:t>
        </w:r>
      </w:hyperlink>
      <w:r w:rsidRPr="00004287">
        <w:rPr>
          <w:rFonts w:eastAsia="Times New Roman"/>
          <w:lang w:eastAsia="fr-FR"/>
        </w:rPr>
        <w:t>)</w:t>
      </w:r>
      <w:r>
        <w:rPr>
          <w:rFonts w:eastAsia="Times New Roman"/>
          <w:lang w:eastAsia="fr-FR"/>
        </w:rPr>
        <w:t>.</w:t>
      </w:r>
    </w:p>
    <w:p w14:paraId="4D9A9267" w14:textId="4FBF8D40" w:rsidR="00004287" w:rsidRDefault="00004287" w:rsidP="00004287">
      <w:pPr>
        <w:pStyle w:val="Paragraphedeliste"/>
        <w:numPr>
          <w:ilvl w:val="0"/>
          <w:numId w:val="5"/>
        </w:numPr>
        <w:rPr>
          <w:rFonts w:eastAsia="Times New Roman"/>
          <w:lang w:eastAsia="fr-FR"/>
        </w:rPr>
      </w:pPr>
      <w:r>
        <w:rPr>
          <w:rFonts w:eastAsia="Times New Roman"/>
          <w:lang w:eastAsia="fr-FR"/>
        </w:rPr>
        <w:t>L</w:t>
      </w:r>
      <w:r w:rsidRPr="00004287">
        <w:rPr>
          <w:rFonts w:eastAsia="Times New Roman"/>
          <w:lang w:eastAsia="fr-FR"/>
        </w:rPr>
        <w:t>a location de terrains ou d’immeubles sous certaines conditions (</w:t>
      </w:r>
      <w:hyperlink r:id="rId39" w:history="1">
        <w:r w:rsidR="00C559E0" w:rsidRPr="00C559E0">
          <w:rPr>
            <w:rStyle w:val="Lienhypertexte"/>
          </w:rPr>
          <w:t>A</w:t>
        </w:r>
        <w:r w:rsidRPr="00C559E0">
          <w:rPr>
            <w:rStyle w:val="Lienhypertexte"/>
            <w:lang w:eastAsia="fr-FR"/>
          </w:rPr>
          <w:t>rticle 261 D du CGI</w:t>
        </w:r>
      </w:hyperlink>
      <w:r>
        <w:rPr>
          <w:rFonts w:eastAsia="Times New Roman"/>
          <w:lang w:eastAsia="fr-FR"/>
        </w:rPr>
        <w:t>).</w:t>
      </w:r>
    </w:p>
    <w:p w14:paraId="3D7F6124" w14:textId="78A1FEA8" w:rsidR="00004287" w:rsidRPr="00004287" w:rsidRDefault="00004287" w:rsidP="00004287">
      <w:pPr>
        <w:pStyle w:val="Paragraphedeliste"/>
        <w:numPr>
          <w:ilvl w:val="0"/>
          <w:numId w:val="5"/>
        </w:numPr>
        <w:rPr>
          <w:rFonts w:eastAsia="Times New Roman"/>
          <w:lang w:eastAsia="fr-FR"/>
        </w:rPr>
      </w:pPr>
      <w:r>
        <w:rPr>
          <w:rFonts w:eastAsia="Times New Roman"/>
          <w:lang w:eastAsia="fr-FR"/>
        </w:rPr>
        <w:t>L</w:t>
      </w:r>
      <w:r w:rsidRPr="00004287">
        <w:rPr>
          <w:rFonts w:eastAsia="Times New Roman"/>
          <w:lang w:eastAsia="fr-FR"/>
        </w:rPr>
        <w:t>es jeux de hasard ou d’argent ainsi que les droits d’entrées à des réunions sportives (</w:t>
      </w:r>
      <w:hyperlink r:id="rId40" w:history="1">
        <w:r w:rsidR="00C559E0" w:rsidRPr="00C559E0">
          <w:rPr>
            <w:rStyle w:val="Lienhypertexte"/>
          </w:rPr>
          <w:t>A</w:t>
        </w:r>
        <w:r w:rsidRPr="00C559E0">
          <w:rPr>
            <w:rStyle w:val="Lienhypertexte"/>
            <w:lang w:eastAsia="fr-FR"/>
          </w:rPr>
          <w:t>rticle 261 E du CGI</w:t>
        </w:r>
      </w:hyperlink>
      <w:r w:rsidRPr="00004287">
        <w:rPr>
          <w:rFonts w:eastAsia="Times New Roman"/>
          <w:lang w:eastAsia="fr-FR"/>
        </w:rPr>
        <w:t>)</w:t>
      </w:r>
      <w:r>
        <w:rPr>
          <w:rFonts w:eastAsia="Times New Roman"/>
          <w:lang w:eastAsia="fr-FR"/>
        </w:rPr>
        <w:t>.</w:t>
      </w:r>
    </w:p>
    <w:p w14:paraId="5ABE722D" w14:textId="77777777" w:rsidR="00004287" w:rsidRPr="00453140" w:rsidRDefault="00004287" w:rsidP="00004287">
      <w:pPr>
        <w:rPr>
          <w:lang w:eastAsia="fr-FR"/>
        </w:rPr>
      </w:pPr>
      <w:r w:rsidRPr="00453140">
        <w:rPr>
          <w:lang w:eastAsia="fr-FR"/>
        </w:rPr>
        <w:t>L’exonération de la TVA pour les secteurs bancaire et de l’assurance s’explique par la difficulté de mesurer la valeur qu’ajoute</w:t>
      </w:r>
      <w:r>
        <w:rPr>
          <w:lang w:eastAsia="fr-FR"/>
        </w:rPr>
        <w:t>nt</w:t>
      </w:r>
      <w:r w:rsidRPr="00453140">
        <w:rPr>
          <w:lang w:eastAsia="fr-FR"/>
        </w:rPr>
        <w:t xml:space="preserve"> les entreprises de ce secteur. En contrepartie de cette exonération, les entreprises de ce secteur s’acquittent </w:t>
      </w:r>
      <w:r w:rsidRPr="00004287">
        <w:rPr>
          <w:b/>
          <w:bCs/>
          <w:color w:val="832C6B"/>
          <w:lang w:eastAsia="fr-FR"/>
        </w:rPr>
        <w:t>d’une taxe sur les salaires</w:t>
      </w:r>
      <w:r w:rsidRPr="00004287">
        <w:rPr>
          <w:lang w:eastAsia="fr-FR"/>
        </w:rPr>
        <w:t xml:space="preserve"> </w:t>
      </w:r>
      <w:r w:rsidRPr="00453140">
        <w:rPr>
          <w:lang w:eastAsia="fr-FR"/>
        </w:rPr>
        <w:t>(représentant environ 10% du montant des salaires).</w:t>
      </w:r>
    </w:p>
    <w:p w14:paraId="572F08DB" w14:textId="04046110" w:rsidR="00004287" w:rsidRDefault="00004287" w:rsidP="00004287">
      <w:pPr>
        <w:rPr>
          <w:lang w:eastAsia="fr-FR"/>
        </w:rPr>
      </w:pPr>
      <w:r w:rsidRPr="00453140">
        <w:rPr>
          <w:lang w:eastAsia="fr-FR"/>
        </w:rPr>
        <w:t xml:space="preserve">De même, les activités de jeux de hasard ou d’argent et les droits d’entrées à des réunions sportives sont déjà soumis à </w:t>
      </w:r>
      <w:r w:rsidRPr="00004287">
        <w:rPr>
          <w:b/>
          <w:bCs/>
          <w:color w:val="832C6B"/>
          <w:lang w:eastAsia="fr-FR"/>
        </w:rPr>
        <w:t>l’impôt sur les spectacles, jeux et divertissements</w:t>
      </w:r>
      <w:r w:rsidRPr="00004287">
        <w:rPr>
          <w:lang w:eastAsia="fr-FR"/>
        </w:rPr>
        <w:t>.</w:t>
      </w:r>
    </w:p>
    <w:p w14:paraId="370C59D0" w14:textId="6FDE4079" w:rsidR="00004287" w:rsidRDefault="00004287" w:rsidP="00004287">
      <w:pPr>
        <w:rPr>
          <w:lang w:eastAsia="fr-FR"/>
        </w:rPr>
      </w:pPr>
    </w:p>
    <w:p w14:paraId="3C5C5FD6" w14:textId="77A94600" w:rsidR="00004287" w:rsidRDefault="00004287" w:rsidP="00004287">
      <w:pPr>
        <w:pStyle w:val="Titre2"/>
        <w:rPr>
          <w:u w:val="single"/>
          <w:lang w:eastAsia="fr-FR"/>
        </w:rPr>
      </w:pPr>
      <w:r>
        <w:rPr>
          <w:lang w:eastAsia="fr-FR"/>
        </w:rPr>
        <w:t xml:space="preserve">§3. La Franchise de base </w:t>
      </w:r>
    </w:p>
    <w:p w14:paraId="43D59242" w14:textId="33EF7326" w:rsidR="00004287" w:rsidRDefault="00004287" w:rsidP="00004287"/>
    <w:p w14:paraId="09A57B25" w14:textId="08F0EA75" w:rsidR="00284B72" w:rsidRDefault="00004287" w:rsidP="00004287">
      <w:r>
        <w:t xml:space="preserve">C’est une </w:t>
      </w:r>
      <w:r w:rsidRPr="001F474B">
        <w:rPr>
          <w:b/>
          <w:bCs/>
          <w:color w:val="832C6B"/>
        </w:rPr>
        <w:t>limitation de l’assiette</w:t>
      </w:r>
      <w:r>
        <w:t xml:space="preserve">. Il s’agit d’un mécanisme d’exonération qui peut toucher des entreprises nouvelles ou des activités qui restent en dessous d’un seuil fixé par la Loi. </w:t>
      </w:r>
      <w:r w:rsidR="00284B72">
        <w:br/>
      </w:r>
      <w:r>
        <w:t xml:space="preserve">Prenons deux exemples : </w:t>
      </w:r>
    </w:p>
    <w:p w14:paraId="52A88877" w14:textId="77777777" w:rsidR="00284B72" w:rsidRDefault="00284B72" w:rsidP="00284B72">
      <w:pPr>
        <w:pStyle w:val="Exemple"/>
        <w:numPr>
          <w:ilvl w:val="0"/>
          <w:numId w:val="8"/>
        </w:numPr>
      </w:pPr>
      <w:r>
        <w:t>U</w:t>
      </w:r>
      <w:r w:rsidR="00004287">
        <w:t>n jeune crée son entreprise et bénéficie de la franchise de base</w:t>
      </w:r>
      <w:r>
        <w:t>.</w:t>
      </w:r>
    </w:p>
    <w:p w14:paraId="3FCF342D" w14:textId="4EBB9CD6" w:rsidR="00004287" w:rsidRDefault="00284B72" w:rsidP="00004287">
      <w:pPr>
        <w:pStyle w:val="Exemple"/>
        <w:numPr>
          <w:ilvl w:val="0"/>
          <w:numId w:val="8"/>
        </w:numPr>
      </w:pPr>
      <w:r>
        <w:t>U</w:t>
      </w:r>
      <w:r w:rsidR="00004287">
        <w:t>ne activité rapporte peu et donc sera située en-dessous du seuil</w:t>
      </w:r>
      <w:r>
        <w:t>.</w:t>
      </w:r>
    </w:p>
    <w:p w14:paraId="317D3932" w14:textId="77777777" w:rsidR="008E5791" w:rsidRDefault="00004287" w:rsidP="00004287">
      <w:r>
        <w:t>Les entreprises soumises à la TVA bénéficient de ce régime lorsque leurs activités ont été inférieures à un seuil fixé par le CGI.</w:t>
      </w:r>
    </w:p>
    <w:p w14:paraId="5F21EFD5" w14:textId="2C08013E" w:rsidR="008E5791" w:rsidRDefault="00004287" w:rsidP="00004287">
      <w:r>
        <w:t xml:space="preserve">Ainsi pour les entreprises de </w:t>
      </w:r>
      <w:r w:rsidRPr="008E5791">
        <w:rPr>
          <w:b/>
          <w:bCs/>
          <w:color w:val="832C6B"/>
        </w:rPr>
        <w:t>livraison de biens et vente de biens à consommer sur place ou des prestations d’hébergement</w:t>
      </w:r>
      <w:r>
        <w:t xml:space="preserve">, le seuil est de 85 800 €. </w:t>
      </w:r>
    </w:p>
    <w:p w14:paraId="033EAF23" w14:textId="77777777" w:rsidR="008E5791" w:rsidRDefault="00004287" w:rsidP="00004287">
      <w:r>
        <w:t xml:space="preserve">Pour les autres activités comme les </w:t>
      </w:r>
      <w:r w:rsidRPr="008E5791">
        <w:rPr>
          <w:b/>
          <w:bCs/>
          <w:color w:val="832C6B"/>
        </w:rPr>
        <w:t>activités libérales</w:t>
      </w:r>
      <w:r>
        <w:t xml:space="preserve">, le seuil est </w:t>
      </w:r>
      <w:r w:rsidR="008E5791">
        <w:t xml:space="preserve">de </w:t>
      </w:r>
      <w:r>
        <w:t xml:space="preserve">34 400 €. </w:t>
      </w:r>
    </w:p>
    <w:p w14:paraId="00A186F3" w14:textId="77777777" w:rsidR="008E5791" w:rsidRDefault="00004287" w:rsidP="00004287">
      <w:r w:rsidRPr="008E5791">
        <w:rPr>
          <w:b/>
          <w:bCs/>
          <w:color w:val="832C6B"/>
        </w:rPr>
        <w:t>Pour les avocats, les revenus des artistes interprètes et les droits d’auteur</w:t>
      </w:r>
      <w:r>
        <w:t xml:space="preserve">, le seuil est de 44 500 euros. Ces seuils correspondent au chiffre d’affaires de l’année précédente. </w:t>
      </w:r>
    </w:p>
    <w:p w14:paraId="369728FA" w14:textId="10C0A1DB" w:rsidR="00004287" w:rsidRDefault="00004287" w:rsidP="00004287">
      <w:r>
        <w:t xml:space="preserve">La TVA n’est pas à collecter ni à reverser comme d’habitude. Elle ne peut donc être déduite et on ne peut en demander le remboursement. </w:t>
      </w:r>
      <w:hyperlink r:id="rId41" w:history="1">
        <w:r w:rsidR="001E644B">
          <w:rPr>
            <w:rStyle w:val="Lienhypertexte"/>
          </w:rPr>
          <w:t>L’article 283 du CGI</w:t>
        </w:r>
      </w:hyperlink>
      <w:r>
        <w:t xml:space="preserve"> </w:t>
      </w:r>
      <w:r w:rsidR="001E644B">
        <w:t xml:space="preserve">fixe </w:t>
      </w:r>
      <w:r>
        <w:t xml:space="preserve">le droit applicable et il doit être visé sur la facture. </w:t>
      </w:r>
      <w:r w:rsidRPr="001E644B">
        <w:rPr>
          <w:b/>
          <w:bCs/>
          <w:color w:val="832C6B"/>
        </w:rPr>
        <w:t>Si au cours de l’année suivante, le chiffre d’affaires dépasse le seuil de l’année précédente</w:t>
      </w:r>
      <w:r>
        <w:t>, la franchise reste valable si le chiffre d’affaires reste inférieur aux seuils suivants : 94 300</w:t>
      </w:r>
      <w:r w:rsidR="001E644B">
        <w:t xml:space="preserve"> €</w:t>
      </w:r>
      <w:r>
        <w:t xml:space="preserve"> pour le premier seuil (le dépassement est de 8 500 €), 36 500</w:t>
      </w:r>
      <w:r w:rsidR="001E644B">
        <w:t xml:space="preserve"> €</w:t>
      </w:r>
      <w:r>
        <w:t xml:space="preserve"> pour le second (le dépassement est de 2 100€) et 54 700 </w:t>
      </w:r>
      <w:r w:rsidR="001E644B">
        <w:t xml:space="preserve">€ </w:t>
      </w:r>
      <w:r>
        <w:t>pour le troisième (le dépassement est de 10 200€).</w:t>
      </w:r>
    </w:p>
    <w:p w14:paraId="600BC46D" w14:textId="37DB972D" w:rsidR="00004287" w:rsidRDefault="00004287" w:rsidP="00004287">
      <w:r w:rsidRPr="001E644B">
        <w:rPr>
          <w:i/>
          <w:iCs/>
        </w:rPr>
        <w:t>Que devons-nous retenir ?</w:t>
      </w:r>
      <w:r>
        <w:t xml:space="preserve"> Qu’il existe une franchise en-dessous d’un seuil variable selon les types d’activité. </w:t>
      </w:r>
    </w:p>
    <w:p w14:paraId="1C572BE2" w14:textId="573B305A" w:rsidR="00284B72" w:rsidRDefault="00284B72" w:rsidP="00004287"/>
    <w:p w14:paraId="14BACFD4" w14:textId="0EF5AFFD" w:rsidR="00284B72" w:rsidRDefault="00284B72" w:rsidP="00284B72">
      <w:pPr>
        <w:pStyle w:val="Titre1"/>
      </w:pPr>
      <w:r>
        <w:lastRenderedPageBreak/>
        <w:t xml:space="preserve">Section 2. Les taux de la TVA </w:t>
      </w:r>
    </w:p>
    <w:p w14:paraId="026D29B9" w14:textId="7E43785A" w:rsidR="00284B72" w:rsidRDefault="00284B72" w:rsidP="00004287"/>
    <w:p w14:paraId="7D6D212F" w14:textId="36C2FFE5" w:rsidR="001E644B" w:rsidRDefault="001E644B" w:rsidP="00004287">
      <w:r>
        <w:t>Après avoir aperçu les opérations imposables, que ce soit en France</w:t>
      </w:r>
      <w:r w:rsidR="00FF3DF5">
        <w:t xml:space="preserve"> ou en Europe, il faut maintenant s’attarder les règles de calcul ainsi que le paiement de la taxe. </w:t>
      </w:r>
    </w:p>
    <w:p w14:paraId="71DFCC28" w14:textId="77777777" w:rsidR="00A14A3C" w:rsidRDefault="00A14A3C" w:rsidP="00004287"/>
    <w:p w14:paraId="04214A1B" w14:textId="19479799" w:rsidR="00004287" w:rsidRDefault="00284B72" w:rsidP="00284B72">
      <w:pPr>
        <w:pStyle w:val="Titre2"/>
      </w:pPr>
      <w:r>
        <w:t xml:space="preserve">§1. Le taux de TVA en Europe </w:t>
      </w:r>
    </w:p>
    <w:p w14:paraId="39C037C8" w14:textId="77777777" w:rsidR="00284B72" w:rsidRPr="00BD566A" w:rsidRDefault="00284B72" w:rsidP="00284B72">
      <w:pPr>
        <w:jc w:val="both"/>
        <w:rPr>
          <w:rFonts w:ascii="Rockwell" w:hAnsi="Rockwell"/>
          <w:b/>
          <w:sz w:val="32"/>
          <w:szCs w:val="32"/>
          <w:u w:val="single"/>
        </w:rPr>
      </w:pPr>
    </w:p>
    <w:p w14:paraId="235D4CA4" w14:textId="77777777" w:rsidR="00284B72" w:rsidRDefault="00284B72" w:rsidP="00284B72">
      <w:r w:rsidRPr="003D1412">
        <w:t>Les États conservent une liberté pour fixer les taux mais l’Europe fixe un taux plancher.</w:t>
      </w:r>
    </w:p>
    <w:p w14:paraId="5CDEBAF5" w14:textId="77777777" w:rsidR="00284B72" w:rsidRDefault="00284B72" w:rsidP="00284B72"/>
    <w:p w14:paraId="42037F2E" w14:textId="77777777" w:rsidR="00284B72" w:rsidRDefault="00284B72" w:rsidP="00284B72">
      <w:pPr>
        <w:pStyle w:val="Titre3"/>
      </w:pPr>
      <w:r>
        <w:t xml:space="preserve">A. Le taux </w:t>
      </w:r>
      <w:r w:rsidRPr="00284B72">
        <w:t>normal</w:t>
      </w:r>
      <w:r>
        <w:t xml:space="preserve"> </w:t>
      </w:r>
    </w:p>
    <w:p w14:paraId="08D2FD9B" w14:textId="2157E52C" w:rsidR="00284B72" w:rsidRDefault="00284B72" w:rsidP="00284B72"/>
    <w:p w14:paraId="22B7ADB3" w14:textId="471FE6AC" w:rsidR="00A14A3C" w:rsidRDefault="00284B72" w:rsidP="00284B72">
      <w:r>
        <w:t xml:space="preserve">Chaque État membre de l’UE applique un taux normal à la livraison de la plupart des biens et services. </w:t>
      </w:r>
      <w:r w:rsidR="00A14A3C">
        <w:t xml:space="preserve">Il est composé de toutes les sommes, valeurs, biens ou services reçus ou à recevoir. </w:t>
      </w:r>
      <w:r>
        <w:t xml:space="preserve">Ce taux ne peut pas être inférieur à 15%. </w:t>
      </w:r>
      <w:r w:rsidR="000C72A2">
        <w:t>Ce plancher a été fixé par les directives européennes.</w:t>
      </w:r>
    </w:p>
    <w:tbl>
      <w:tblPr>
        <w:tblStyle w:val="Grilledutableau"/>
        <w:tblW w:w="0" w:type="auto"/>
        <w:jc w:val="center"/>
        <w:tblLook w:val="04A0" w:firstRow="1" w:lastRow="0" w:firstColumn="1" w:lastColumn="0" w:noHBand="0" w:noVBand="1"/>
      </w:tblPr>
      <w:tblGrid>
        <w:gridCol w:w="2802"/>
        <w:gridCol w:w="1559"/>
      </w:tblGrid>
      <w:tr w:rsidR="00A14A3C" w14:paraId="37A9FE8C" w14:textId="77777777" w:rsidTr="009057D6">
        <w:trPr>
          <w:jc w:val="center"/>
        </w:trPr>
        <w:tc>
          <w:tcPr>
            <w:tcW w:w="2802" w:type="dxa"/>
            <w:shd w:val="clear" w:color="auto" w:fill="F2F2F2" w:themeFill="background1" w:themeFillShade="F2"/>
          </w:tcPr>
          <w:p w14:paraId="125DCF92" w14:textId="5C519DF0" w:rsidR="00A14A3C" w:rsidRPr="00A14A3C" w:rsidRDefault="00A14A3C" w:rsidP="00A14A3C">
            <w:pPr>
              <w:rPr>
                <w:b/>
                <w:bCs/>
              </w:rPr>
            </w:pPr>
            <w:r w:rsidRPr="00A14A3C">
              <w:rPr>
                <w:b/>
                <w:bCs/>
              </w:rPr>
              <w:t xml:space="preserve">Pays </w:t>
            </w:r>
          </w:p>
        </w:tc>
        <w:tc>
          <w:tcPr>
            <w:tcW w:w="1559" w:type="dxa"/>
            <w:shd w:val="clear" w:color="auto" w:fill="F2F2F2" w:themeFill="background1" w:themeFillShade="F2"/>
          </w:tcPr>
          <w:p w14:paraId="33F0CB0A" w14:textId="6C7BE7D4" w:rsidR="00A14A3C" w:rsidRPr="00A14A3C" w:rsidRDefault="00A14A3C" w:rsidP="009057D6">
            <w:pPr>
              <w:jc w:val="center"/>
              <w:rPr>
                <w:b/>
                <w:bCs/>
              </w:rPr>
            </w:pPr>
            <w:r w:rsidRPr="00A14A3C">
              <w:rPr>
                <w:b/>
                <w:bCs/>
              </w:rPr>
              <w:t>Taux de TVA</w:t>
            </w:r>
          </w:p>
        </w:tc>
      </w:tr>
      <w:tr w:rsidR="00A14A3C" w14:paraId="3234D7CF" w14:textId="77777777" w:rsidTr="009057D6">
        <w:trPr>
          <w:jc w:val="center"/>
        </w:trPr>
        <w:tc>
          <w:tcPr>
            <w:tcW w:w="2802" w:type="dxa"/>
          </w:tcPr>
          <w:p w14:paraId="0F971861" w14:textId="0F7B2114" w:rsidR="00A14A3C" w:rsidRDefault="00A14A3C" w:rsidP="00A14A3C">
            <w:r>
              <w:t xml:space="preserve">Hongrie </w:t>
            </w:r>
          </w:p>
        </w:tc>
        <w:tc>
          <w:tcPr>
            <w:tcW w:w="1559" w:type="dxa"/>
          </w:tcPr>
          <w:p w14:paraId="328EFAB6" w14:textId="3C23F2D0" w:rsidR="00A14A3C" w:rsidRDefault="00A14A3C" w:rsidP="009057D6">
            <w:pPr>
              <w:jc w:val="center"/>
            </w:pPr>
            <w:r>
              <w:t>27%</w:t>
            </w:r>
          </w:p>
        </w:tc>
      </w:tr>
      <w:tr w:rsidR="00A14A3C" w14:paraId="1823069F" w14:textId="77777777" w:rsidTr="009057D6">
        <w:trPr>
          <w:jc w:val="center"/>
        </w:trPr>
        <w:tc>
          <w:tcPr>
            <w:tcW w:w="2802" w:type="dxa"/>
            <w:shd w:val="clear" w:color="auto" w:fill="F2F2F2" w:themeFill="background1" w:themeFillShade="F2"/>
          </w:tcPr>
          <w:p w14:paraId="3047E2D0" w14:textId="0CAA69C9" w:rsidR="00A14A3C" w:rsidRDefault="00A14A3C" w:rsidP="00284B72">
            <w:r>
              <w:t xml:space="preserve">Croatie, Danemark, Suède </w:t>
            </w:r>
          </w:p>
        </w:tc>
        <w:tc>
          <w:tcPr>
            <w:tcW w:w="1559" w:type="dxa"/>
            <w:shd w:val="clear" w:color="auto" w:fill="F2F2F2" w:themeFill="background1" w:themeFillShade="F2"/>
          </w:tcPr>
          <w:p w14:paraId="50D50B65" w14:textId="4A26DEEB" w:rsidR="00A14A3C" w:rsidRDefault="00A14A3C" w:rsidP="009057D6">
            <w:pPr>
              <w:jc w:val="center"/>
            </w:pPr>
            <w:r>
              <w:t>25%</w:t>
            </w:r>
          </w:p>
        </w:tc>
      </w:tr>
      <w:tr w:rsidR="00A14A3C" w14:paraId="3C94C344" w14:textId="77777777" w:rsidTr="009057D6">
        <w:trPr>
          <w:jc w:val="center"/>
        </w:trPr>
        <w:tc>
          <w:tcPr>
            <w:tcW w:w="2802" w:type="dxa"/>
          </w:tcPr>
          <w:p w14:paraId="12C1CEF1" w14:textId="69A6A122" w:rsidR="00A14A3C" w:rsidRDefault="00A14A3C" w:rsidP="00284B72">
            <w:r>
              <w:t>Finlande</w:t>
            </w:r>
            <w:r w:rsidR="00EC62F9">
              <w:t>, Grèce</w:t>
            </w:r>
          </w:p>
        </w:tc>
        <w:tc>
          <w:tcPr>
            <w:tcW w:w="1559" w:type="dxa"/>
          </w:tcPr>
          <w:p w14:paraId="302CAA79" w14:textId="4A919276" w:rsidR="00A14A3C" w:rsidRDefault="00A14A3C" w:rsidP="009057D6">
            <w:pPr>
              <w:jc w:val="center"/>
            </w:pPr>
            <w:r>
              <w:t>24%</w:t>
            </w:r>
          </w:p>
        </w:tc>
      </w:tr>
      <w:tr w:rsidR="00A14A3C" w14:paraId="29432F63" w14:textId="77777777" w:rsidTr="009057D6">
        <w:trPr>
          <w:jc w:val="center"/>
        </w:trPr>
        <w:tc>
          <w:tcPr>
            <w:tcW w:w="2802" w:type="dxa"/>
            <w:shd w:val="clear" w:color="auto" w:fill="F2F2F2" w:themeFill="background1" w:themeFillShade="F2"/>
          </w:tcPr>
          <w:p w14:paraId="3213E357" w14:textId="65F81E02" w:rsidR="00A14A3C" w:rsidRDefault="00A14A3C" w:rsidP="00284B72">
            <w:r>
              <w:t xml:space="preserve">Irlande, Pologne, </w:t>
            </w:r>
            <w:r w:rsidR="00EC62F9">
              <w:t>Portugal,</w:t>
            </w:r>
          </w:p>
        </w:tc>
        <w:tc>
          <w:tcPr>
            <w:tcW w:w="1559" w:type="dxa"/>
            <w:shd w:val="clear" w:color="auto" w:fill="F2F2F2" w:themeFill="background1" w:themeFillShade="F2"/>
          </w:tcPr>
          <w:p w14:paraId="40056010" w14:textId="5042B08A" w:rsidR="00A14A3C" w:rsidRDefault="00A14A3C" w:rsidP="009057D6">
            <w:pPr>
              <w:jc w:val="center"/>
            </w:pPr>
            <w:r>
              <w:t>23%</w:t>
            </w:r>
          </w:p>
        </w:tc>
      </w:tr>
      <w:tr w:rsidR="00A14A3C" w14:paraId="34761C72" w14:textId="77777777" w:rsidTr="009057D6">
        <w:trPr>
          <w:jc w:val="center"/>
        </w:trPr>
        <w:tc>
          <w:tcPr>
            <w:tcW w:w="2802" w:type="dxa"/>
          </w:tcPr>
          <w:p w14:paraId="117DC02F" w14:textId="026F9EC5" w:rsidR="00A14A3C" w:rsidRDefault="00A14A3C" w:rsidP="00284B72">
            <w:r>
              <w:t xml:space="preserve">Italie, Slovénie </w:t>
            </w:r>
          </w:p>
        </w:tc>
        <w:tc>
          <w:tcPr>
            <w:tcW w:w="1559" w:type="dxa"/>
          </w:tcPr>
          <w:p w14:paraId="20428F09" w14:textId="297B8FCD" w:rsidR="00A14A3C" w:rsidRDefault="00A14A3C" w:rsidP="009057D6">
            <w:pPr>
              <w:jc w:val="center"/>
            </w:pPr>
            <w:r>
              <w:t>22%</w:t>
            </w:r>
          </w:p>
        </w:tc>
      </w:tr>
      <w:tr w:rsidR="00A14A3C" w14:paraId="39E16FFE" w14:textId="77777777" w:rsidTr="009057D6">
        <w:trPr>
          <w:jc w:val="center"/>
        </w:trPr>
        <w:tc>
          <w:tcPr>
            <w:tcW w:w="2802" w:type="dxa"/>
            <w:shd w:val="clear" w:color="auto" w:fill="F2F2F2" w:themeFill="background1" w:themeFillShade="F2"/>
          </w:tcPr>
          <w:p w14:paraId="322E0287" w14:textId="6681D394" w:rsidR="00A14A3C" w:rsidRDefault="00A14A3C" w:rsidP="00284B72">
            <w:r>
              <w:t xml:space="preserve">Belgique, </w:t>
            </w:r>
            <w:r w:rsidR="00820DFA">
              <w:t xml:space="preserve">Pays-Bas, Espagne, </w:t>
            </w:r>
            <w:r>
              <w:t>République-Tchèque, Lettonie, Lituanie</w:t>
            </w:r>
            <w:r w:rsidR="00820DFA">
              <w:t>.</w:t>
            </w:r>
          </w:p>
        </w:tc>
        <w:tc>
          <w:tcPr>
            <w:tcW w:w="1559" w:type="dxa"/>
            <w:shd w:val="clear" w:color="auto" w:fill="F2F2F2" w:themeFill="background1" w:themeFillShade="F2"/>
          </w:tcPr>
          <w:p w14:paraId="2A23C8F7" w14:textId="2F2019C0" w:rsidR="00A14A3C" w:rsidRDefault="00A14A3C" w:rsidP="009057D6">
            <w:pPr>
              <w:jc w:val="center"/>
            </w:pPr>
            <w:r>
              <w:t>21%</w:t>
            </w:r>
          </w:p>
        </w:tc>
      </w:tr>
      <w:tr w:rsidR="00A14A3C" w14:paraId="616AAD0E" w14:textId="77777777" w:rsidTr="009057D6">
        <w:trPr>
          <w:jc w:val="center"/>
        </w:trPr>
        <w:tc>
          <w:tcPr>
            <w:tcW w:w="2802" w:type="dxa"/>
          </w:tcPr>
          <w:p w14:paraId="189228F6" w14:textId="3F5F5EAB" w:rsidR="00A14A3C" w:rsidRDefault="00A14A3C" w:rsidP="00284B72">
            <w:r>
              <w:t>Autriche, Bulgarie, Estonie, France, Slovaquie</w:t>
            </w:r>
          </w:p>
        </w:tc>
        <w:tc>
          <w:tcPr>
            <w:tcW w:w="1559" w:type="dxa"/>
          </w:tcPr>
          <w:p w14:paraId="3A3A15FF" w14:textId="4DA65B33" w:rsidR="00A14A3C" w:rsidRDefault="00A14A3C" w:rsidP="009057D6">
            <w:pPr>
              <w:jc w:val="center"/>
            </w:pPr>
            <w:r>
              <w:t>20%</w:t>
            </w:r>
          </w:p>
        </w:tc>
      </w:tr>
      <w:tr w:rsidR="00A14A3C" w14:paraId="6B4532DA" w14:textId="77777777" w:rsidTr="009057D6">
        <w:trPr>
          <w:jc w:val="center"/>
        </w:trPr>
        <w:tc>
          <w:tcPr>
            <w:tcW w:w="2802" w:type="dxa"/>
            <w:shd w:val="clear" w:color="auto" w:fill="F2F2F2" w:themeFill="background1" w:themeFillShade="F2"/>
          </w:tcPr>
          <w:p w14:paraId="414EB1B9" w14:textId="6B0D43A2" w:rsidR="00A14A3C" w:rsidRDefault="00A14A3C" w:rsidP="00284B72">
            <w:r>
              <w:t>Allemagne, Chypre, Roumanie</w:t>
            </w:r>
          </w:p>
        </w:tc>
        <w:tc>
          <w:tcPr>
            <w:tcW w:w="1559" w:type="dxa"/>
            <w:shd w:val="clear" w:color="auto" w:fill="F2F2F2" w:themeFill="background1" w:themeFillShade="F2"/>
          </w:tcPr>
          <w:p w14:paraId="0304D3FD" w14:textId="04487402" w:rsidR="00A14A3C" w:rsidRDefault="00A14A3C" w:rsidP="009057D6">
            <w:pPr>
              <w:jc w:val="center"/>
            </w:pPr>
            <w:r>
              <w:t>19%</w:t>
            </w:r>
          </w:p>
        </w:tc>
      </w:tr>
      <w:tr w:rsidR="00A14A3C" w14:paraId="0584D849" w14:textId="77777777" w:rsidTr="009057D6">
        <w:trPr>
          <w:jc w:val="center"/>
        </w:trPr>
        <w:tc>
          <w:tcPr>
            <w:tcW w:w="2802" w:type="dxa"/>
          </w:tcPr>
          <w:p w14:paraId="3467BAE7" w14:textId="42F9E11D" w:rsidR="00A14A3C" w:rsidRDefault="00A14A3C" w:rsidP="00284B72">
            <w:r>
              <w:t>Malte</w:t>
            </w:r>
          </w:p>
        </w:tc>
        <w:tc>
          <w:tcPr>
            <w:tcW w:w="1559" w:type="dxa"/>
          </w:tcPr>
          <w:p w14:paraId="0A7A00FE" w14:textId="35E87B30" w:rsidR="00A14A3C" w:rsidRDefault="00A14A3C" w:rsidP="009057D6">
            <w:pPr>
              <w:jc w:val="center"/>
            </w:pPr>
            <w:r>
              <w:t>18%</w:t>
            </w:r>
          </w:p>
        </w:tc>
      </w:tr>
      <w:tr w:rsidR="00A14A3C" w14:paraId="174FF66C" w14:textId="77777777" w:rsidTr="009057D6">
        <w:trPr>
          <w:jc w:val="center"/>
        </w:trPr>
        <w:tc>
          <w:tcPr>
            <w:tcW w:w="2802" w:type="dxa"/>
            <w:shd w:val="clear" w:color="auto" w:fill="F2F2F2" w:themeFill="background1" w:themeFillShade="F2"/>
          </w:tcPr>
          <w:p w14:paraId="60A21223" w14:textId="173D7E66" w:rsidR="00A14A3C" w:rsidRDefault="00A14A3C" w:rsidP="00284B72">
            <w:r>
              <w:t>Luxembourg</w:t>
            </w:r>
          </w:p>
        </w:tc>
        <w:tc>
          <w:tcPr>
            <w:tcW w:w="1559" w:type="dxa"/>
            <w:shd w:val="clear" w:color="auto" w:fill="F2F2F2" w:themeFill="background1" w:themeFillShade="F2"/>
          </w:tcPr>
          <w:p w14:paraId="449EB343" w14:textId="459CD482" w:rsidR="00A14A3C" w:rsidRDefault="00A14A3C" w:rsidP="009057D6">
            <w:pPr>
              <w:jc w:val="center"/>
            </w:pPr>
            <w:r>
              <w:t>17%</w:t>
            </w:r>
          </w:p>
        </w:tc>
      </w:tr>
    </w:tbl>
    <w:p w14:paraId="67FD453E" w14:textId="0ECB2784" w:rsidR="00284B72" w:rsidRDefault="00284B72" w:rsidP="00284B72">
      <w:r w:rsidRPr="003D1412">
        <w:t xml:space="preserve"> </w:t>
      </w:r>
    </w:p>
    <w:p w14:paraId="7A564505" w14:textId="12C68C62" w:rsidR="00284B72" w:rsidRPr="00583F39" w:rsidRDefault="00284B72" w:rsidP="00284B72">
      <w:r w:rsidRPr="00583F39">
        <w:t xml:space="preserve">On trouve le taux le plus élevé en Hongrie avec 27%, </w:t>
      </w:r>
    </w:p>
    <w:p w14:paraId="5AA2C76D" w14:textId="77777777" w:rsidR="00284B72" w:rsidRPr="00583F39" w:rsidRDefault="00284B72" w:rsidP="00284B72">
      <w:r w:rsidRPr="00583F39">
        <w:t>3 pays sont à 25% (Croatie, Danemark et Suède</w:t>
      </w:r>
      <w:r w:rsidRPr="00583F39">
        <w:rPr>
          <w:rStyle w:val="Appelnotedebasdep"/>
          <w:rFonts w:ascii="Rockwell" w:hAnsi="Rockwell" w:cs="Arial"/>
          <w:sz w:val="32"/>
          <w:szCs w:val="32"/>
        </w:rPr>
        <w:footnoteReference w:id="1"/>
      </w:r>
      <w:r w:rsidRPr="00583F39">
        <w:t xml:space="preserve">), </w:t>
      </w:r>
    </w:p>
    <w:p w14:paraId="31C98F1E" w14:textId="296D2E9F" w:rsidR="00284B72" w:rsidRDefault="00284B72" w:rsidP="003B3B8D">
      <w:pPr>
        <w:pStyle w:val="Remarque"/>
      </w:pPr>
      <w:r>
        <w:t>Pour la Croatie, le taux normal est tellement élevé qu’en raison de la crise, on a fait passer certains secteurs au taux réduit de 25% à 13% pour la préparation et le service des repas au 1</w:t>
      </w:r>
      <w:r w:rsidRPr="006B4FD8">
        <w:rPr>
          <w:vertAlign w:val="superscript"/>
        </w:rPr>
        <w:t>er</w:t>
      </w:r>
      <w:r>
        <w:t xml:space="preserve"> janvier 2021. Il était question d’abaisser le taux normal de 25%</w:t>
      </w:r>
      <w:r w:rsidR="00FB0811">
        <w:t xml:space="preserve"> </w:t>
      </w:r>
      <w:r>
        <w:t>à 24% mais cela a été refusé.</w:t>
      </w:r>
    </w:p>
    <w:p w14:paraId="1C8448AB" w14:textId="77777777" w:rsidR="00284B72" w:rsidRPr="00583F39" w:rsidRDefault="00284B72" w:rsidP="00284B72">
      <w:pPr>
        <w:rPr>
          <w:rFonts w:cs="Times New Roman (Corps CS)"/>
        </w:rPr>
      </w:pPr>
      <w:r w:rsidRPr="00583F39">
        <w:rPr>
          <w:rFonts w:cs="Times New Roman (Corps CS)"/>
        </w:rPr>
        <w:t xml:space="preserve">2 pays à 24% (Grèce et Finlande), </w:t>
      </w:r>
    </w:p>
    <w:p w14:paraId="19E488A3" w14:textId="77777777" w:rsidR="00284B72" w:rsidRPr="00583F39" w:rsidRDefault="00284B72" w:rsidP="00284B72">
      <w:pPr>
        <w:rPr>
          <w:rFonts w:cs="Times New Roman (Corps CS)"/>
        </w:rPr>
      </w:pPr>
      <w:r w:rsidRPr="00583F39">
        <w:rPr>
          <w:rFonts w:cs="Times New Roman (Corps CS)"/>
        </w:rPr>
        <w:t xml:space="preserve">3 sont à 23% (Irlande, Pologne et Portugal), </w:t>
      </w:r>
    </w:p>
    <w:p w14:paraId="6F5A97C0" w14:textId="77777777" w:rsidR="00284B72" w:rsidRPr="00583F39" w:rsidRDefault="00284B72" w:rsidP="00284B72">
      <w:pPr>
        <w:rPr>
          <w:rFonts w:cs="Times New Roman (Corps CS)"/>
        </w:rPr>
      </w:pPr>
      <w:r w:rsidRPr="00583F39">
        <w:rPr>
          <w:rFonts w:cs="Times New Roman (Corps CS)"/>
        </w:rPr>
        <w:lastRenderedPageBreak/>
        <w:t xml:space="preserve">2 à 22% (Italie et Slovénie), </w:t>
      </w:r>
    </w:p>
    <w:p w14:paraId="1AC92F58" w14:textId="36DC55E6" w:rsidR="00A14A3C" w:rsidRPr="00583F39" w:rsidRDefault="00284B72" w:rsidP="00284B72">
      <w:pPr>
        <w:rPr>
          <w:rFonts w:cs="Times New Roman (Corps CS)"/>
        </w:rPr>
      </w:pPr>
      <w:r w:rsidRPr="00583F39">
        <w:rPr>
          <w:rFonts w:cs="Times New Roman (Corps CS)"/>
        </w:rPr>
        <w:t xml:space="preserve">6 États appliquent le taux de 21% (Belgique, </w:t>
      </w:r>
      <w:r w:rsidR="00820DFA">
        <w:rPr>
          <w:rFonts w:cs="Times New Roman (Corps CS)"/>
        </w:rPr>
        <w:t xml:space="preserve">Pays-Bas, Espagne, </w:t>
      </w:r>
      <w:r w:rsidRPr="00583F39">
        <w:rPr>
          <w:rFonts w:cs="Times New Roman (Corps CS)"/>
        </w:rPr>
        <w:t>République Tchèque, Lettonie</w:t>
      </w:r>
      <w:r w:rsidR="00820DFA">
        <w:rPr>
          <w:rFonts w:cs="Times New Roman (Corps CS)"/>
        </w:rPr>
        <w:t xml:space="preserve"> et </w:t>
      </w:r>
      <w:r w:rsidRPr="00583F39">
        <w:rPr>
          <w:rFonts w:cs="Times New Roman (Corps CS)"/>
        </w:rPr>
        <w:t xml:space="preserve">Lituanie). </w:t>
      </w:r>
    </w:p>
    <w:p w14:paraId="017C85FB" w14:textId="7D4352B7" w:rsidR="00284B72" w:rsidRPr="00583F39" w:rsidRDefault="00284B72" w:rsidP="003B3B8D">
      <w:pPr>
        <w:pStyle w:val="Remarque"/>
        <w:rPr>
          <w:rFonts w:cs="Times New Roman (Corps CS)"/>
          <w:u w:val="single"/>
        </w:rPr>
      </w:pPr>
      <w:r w:rsidRPr="00583F39">
        <w:rPr>
          <w:rFonts w:cs="Times New Roman (Corps CS)"/>
        </w:rPr>
        <w:t xml:space="preserve">Concernant les Pays-Bas, le commerce de vente de livres électroniques s’est envolé avec la crise. </w:t>
      </w:r>
      <w:r w:rsidRPr="00583F39">
        <w:rPr>
          <w:rFonts w:cs="Times New Roman (Corps CS)"/>
          <w:u w:val="single"/>
        </w:rPr>
        <w:t>On a donc abaissé le taux applicable sur ces ventes de 21% à 9%.</w:t>
      </w:r>
    </w:p>
    <w:p w14:paraId="1E3F5D75" w14:textId="77777777" w:rsidR="004B78D3" w:rsidRDefault="00284B72" w:rsidP="00284B72">
      <w:pPr>
        <w:rPr>
          <w:rFonts w:cs="Times New Roman (Corps CS)"/>
          <w:b/>
        </w:rPr>
      </w:pPr>
      <w:r w:rsidRPr="00583F39">
        <w:rPr>
          <w:rFonts w:cs="Times New Roman (Corps CS)"/>
        </w:rPr>
        <w:t xml:space="preserve">Au total, on a </w:t>
      </w:r>
      <w:r w:rsidRPr="00583F39">
        <w:rPr>
          <w:rFonts w:cs="Times New Roman (Corps CS)"/>
          <w:b/>
          <w:u w:val="single"/>
        </w:rPr>
        <w:t xml:space="preserve">17 États </w:t>
      </w:r>
      <w:r w:rsidRPr="00583F39">
        <w:rPr>
          <w:rFonts w:cs="Times New Roman (Corps CS)"/>
        </w:rPr>
        <w:t xml:space="preserve">qui pratiquent un taux normal </w:t>
      </w:r>
      <w:r w:rsidRPr="00583F39">
        <w:rPr>
          <w:rFonts w:cs="Times New Roman (Corps CS)"/>
          <w:b/>
        </w:rPr>
        <w:t>supérieur à</w:t>
      </w:r>
      <w:r w:rsidRPr="00583F39">
        <w:rPr>
          <w:rFonts w:cs="Times New Roman (Corps CS)"/>
        </w:rPr>
        <w:t xml:space="preserve"> </w:t>
      </w:r>
      <w:r w:rsidRPr="00583F39">
        <w:rPr>
          <w:rFonts w:cs="Times New Roman (Corps CS)"/>
          <w:b/>
        </w:rPr>
        <w:t xml:space="preserve">20% </w:t>
      </w:r>
    </w:p>
    <w:p w14:paraId="212CB0F2" w14:textId="53D49AB1" w:rsidR="00284B72" w:rsidRPr="00583F39" w:rsidRDefault="00284B72" w:rsidP="00284B72">
      <w:pPr>
        <w:rPr>
          <w:rFonts w:cs="Times New Roman (Corps CS)"/>
          <w:b/>
        </w:rPr>
      </w:pPr>
      <w:r w:rsidRPr="00583F39">
        <w:rPr>
          <w:rFonts w:cs="Times New Roman (Corps CS)"/>
          <w:b/>
          <w:u w:val="single"/>
        </w:rPr>
        <w:t>+ 1</w:t>
      </w:r>
      <w:r w:rsidR="006479A9">
        <w:rPr>
          <w:rFonts w:cs="Times New Roman (Corps CS)"/>
          <w:b/>
          <w:u w:val="single"/>
        </w:rPr>
        <w:t>0</w:t>
      </w:r>
      <w:r w:rsidRPr="00583F39">
        <w:rPr>
          <w:rFonts w:cs="Times New Roman (Corps CS)"/>
          <w:b/>
          <w:u w:val="single"/>
        </w:rPr>
        <w:t xml:space="preserve"> États</w:t>
      </w:r>
      <w:r w:rsidRPr="00583F39">
        <w:rPr>
          <w:rFonts w:cs="Times New Roman (Corps CS)"/>
          <w:b/>
        </w:rPr>
        <w:t xml:space="preserve"> </w:t>
      </w:r>
      <w:r w:rsidRPr="00583F39">
        <w:rPr>
          <w:rFonts w:cs="Times New Roman (Corps CS)"/>
        </w:rPr>
        <w:t xml:space="preserve">qui ont un taux normal </w:t>
      </w:r>
      <w:r w:rsidRPr="00583F39">
        <w:rPr>
          <w:rFonts w:cs="Times New Roman (Corps CS)"/>
          <w:b/>
        </w:rPr>
        <w:t>inférieur ou égal à 20% = 2</w:t>
      </w:r>
      <w:r w:rsidR="006479A9">
        <w:rPr>
          <w:rFonts w:cs="Times New Roman (Corps CS)"/>
          <w:b/>
        </w:rPr>
        <w:t>7</w:t>
      </w:r>
      <w:r w:rsidRPr="00583F39">
        <w:rPr>
          <w:rFonts w:cs="Times New Roman (Corps CS)"/>
          <w:b/>
        </w:rPr>
        <w:t>.</w:t>
      </w:r>
    </w:p>
    <w:p w14:paraId="272C9174" w14:textId="52871341" w:rsidR="00284B72" w:rsidRPr="00583F39" w:rsidRDefault="006479A9" w:rsidP="00284B72">
      <w:pPr>
        <w:rPr>
          <w:rFonts w:cs="Times New Roman (Corps CS)"/>
        </w:rPr>
      </w:pPr>
      <w:r>
        <w:rPr>
          <w:rFonts w:cs="Times New Roman (Corps CS)"/>
        </w:rPr>
        <w:t>5</w:t>
      </w:r>
      <w:r w:rsidR="00284B72" w:rsidRPr="00583F39">
        <w:rPr>
          <w:rFonts w:cs="Times New Roman (Corps CS)"/>
        </w:rPr>
        <w:t xml:space="preserve"> États où le </w:t>
      </w:r>
      <w:r w:rsidR="00284B72" w:rsidRPr="00583F39">
        <w:rPr>
          <w:rFonts w:cs="Times New Roman (Corps CS)"/>
          <w:u w:val="single"/>
        </w:rPr>
        <w:t>taux normal de TVA est à 20%</w:t>
      </w:r>
      <w:r w:rsidR="00284B72" w:rsidRPr="00583F39">
        <w:rPr>
          <w:rFonts w:cs="Times New Roman (Corps CS)"/>
        </w:rPr>
        <w:t xml:space="preserve"> </w:t>
      </w:r>
    </w:p>
    <w:p w14:paraId="47265772" w14:textId="0745FE8F" w:rsidR="00284B72" w:rsidRPr="00583F39" w:rsidRDefault="00284B72" w:rsidP="00284B72">
      <w:pPr>
        <w:rPr>
          <w:rFonts w:cs="Times New Roman (Corps CS)"/>
        </w:rPr>
      </w:pPr>
      <w:r w:rsidRPr="00583F39">
        <w:rPr>
          <w:rFonts w:cs="Times New Roman (Corps CS)"/>
        </w:rPr>
        <w:t xml:space="preserve">Autriche, Bulgarie, Estonie, </w:t>
      </w:r>
      <w:r w:rsidRPr="00583F39">
        <w:rPr>
          <w:rFonts w:cs="Times New Roman (Corps CS)"/>
          <w:b/>
        </w:rPr>
        <w:t>France,</w:t>
      </w:r>
      <w:r w:rsidRPr="00583F39">
        <w:rPr>
          <w:rFonts w:cs="Times New Roman (Corps CS)"/>
        </w:rPr>
        <w:t xml:space="preserve"> Slovaqui</w:t>
      </w:r>
      <w:r w:rsidR="006479A9">
        <w:rPr>
          <w:rFonts w:cs="Times New Roman (Corps CS)"/>
        </w:rPr>
        <w:t>e</w:t>
      </w:r>
      <w:r w:rsidRPr="00583F39">
        <w:rPr>
          <w:rFonts w:cs="Times New Roman (Corps CS)"/>
        </w:rPr>
        <w:t xml:space="preserve">. </w:t>
      </w:r>
    </w:p>
    <w:p w14:paraId="24F58CA7" w14:textId="77777777" w:rsidR="00284B72" w:rsidRPr="00583F39" w:rsidRDefault="00284B72" w:rsidP="00284B72">
      <w:pPr>
        <w:rPr>
          <w:rFonts w:cs="Times New Roman (Corps CS)"/>
        </w:rPr>
      </w:pPr>
      <w:r w:rsidRPr="00583F39">
        <w:rPr>
          <w:rFonts w:cs="Times New Roman (Corps CS)"/>
        </w:rPr>
        <w:t xml:space="preserve">Enfin nous trouvons en fin de liste, 5 États dont le taux normal de TVA </w:t>
      </w:r>
      <w:r w:rsidRPr="00583F39">
        <w:rPr>
          <w:rFonts w:cs="Times New Roman (Corps CS)"/>
          <w:u w:val="single"/>
        </w:rPr>
        <w:t>est situé en dessous de 20% </w:t>
      </w:r>
      <w:r w:rsidRPr="00583F39">
        <w:rPr>
          <w:rFonts w:cs="Times New Roman (Corps CS)"/>
        </w:rPr>
        <w:t xml:space="preserve">: </w:t>
      </w:r>
    </w:p>
    <w:p w14:paraId="7B21AD25" w14:textId="77777777" w:rsidR="00284B72" w:rsidRPr="00583F39" w:rsidRDefault="00284B72" w:rsidP="00284B72">
      <w:pPr>
        <w:rPr>
          <w:rFonts w:cs="Times New Roman (Corps CS)"/>
        </w:rPr>
      </w:pPr>
      <w:r w:rsidRPr="00583F39">
        <w:rPr>
          <w:rFonts w:cs="Times New Roman (Corps CS)"/>
        </w:rPr>
        <w:t xml:space="preserve">19% pour trois États (Allemagne, Chypre et Roumanie), </w:t>
      </w:r>
    </w:p>
    <w:p w14:paraId="55FC5369" w14:textId="57E2A635" w:rsidR="00284B72" w:rsidRDefault="00284B72" w:rsidP="00284B72">
      <w:pPr>
        <w:rPr>
          <w:rFonts w:cs="Times New Roman (Corps CS)"/>
        </w:rPr>
      </w:pPr>
      <w:r w:rsidRPr="00583F39">
        <w:rPr>
          <w:rFonts w:cs="Times New Roman (Corps CS)"/>
        </w:rPr>
        <w:t>18% pour Malte et 1</w:t>
      </w:r>
      <w:r w:rsidR="000C72A2">
        <w:rPr>
          <w:rFonts w:cs="Times New Roman (Corps CS)"/>
        </w:rPr>
        <w:t>6</w:t>
      </w:r>
      <w:r w:rsidRPr="00583F39">
        <w:rPr>
          <w:rFonts w:cs="Times New Roman (Corps CS)"/>
        </w:rPr>
        <w:t xml:space="preserve">% seulement pour le </w:t>
      </w:r>
      <w:r w:rsidR="000C72A2">
        <w:rPr>
          <w:rFonts w:cs="Times New Roman (Corps CS)"/>
        </w:rPr>
        <w:t>Luxembourg qui a abaissé son taux qui était à 17%</w:t>
      </w:r>
      <w:r w:rsidRPr="00583F39">
        <w:rPr>
          <w:rFonts w:cs="Times New Roman (Corps CS)"/>
        </w:rPr>
        <w:t>.</w:t>
      </w:r>
    </w:p>
    <w:p w14:paraId="2D0F24B5" w14:textId="4154FD33" w:rsidR="00974BBF" w:rsidRPr="00583F39" w:rsidRDefault="00974BBF" w:rsidP="00974BBF">
      <w:pPr>
        <w:jc w:val="both"/>
        <w:rPr>
          <w:rFonts w:cs="Times New Roman (Corps CS)"/>
        </w:rPr>
      </w:pPr>
      <w:r>
        <w:rPr>
          <w:rFonts w:cs="Times New Roman (Corps CS)"/>
        </w:rPr>
        <w:t>Petite précision concernant l’Allemagne : le taux normal allemand était à 16% jusqu’au 1</w:t>
      </w:r>
      <w:r w:rsidRPr="00974BBF">
        <w:rPr>
          <w:rFonts w:cs="Times New Roman (Corps CS)"/>
          <w:vertAlign w:val="superscript"/>
        </w:rPr>
        <w:t>er</w:t>
      </w:r>
      <w:r>
        <w:rPr>
          <w:rFonts w:cs="Times New Roman (Corps CS)"/>
        </w:rPr>
        <w:t xml:space="preserve"> janvier 2007. Puis il a été décidé de le relever à 19% ce qui a occasionné des gains importants pour les Finances publiques de l’Etat. Puis, pour tenir compte de la crise sanitaire, le taux normal a été rabaissé à 16% du 1</w:t>
      </w:r>
      <w:r w:rsidRPr="00974BBF">
        <w:rPr>
          <w:rFonts w:cs="Times New Roman (Corps CS)"/>
          <w:vertAlign w:val="superscript"/>
        </w:rPr>
        <w:t>er</w:t>
      </w:r>
      <w:r>
        <w:rPr>
          <w:rFonts w:cs="Times New Roman (Corps CS)"/>
        </w:rPr>
        <w:t xml:space="preserve"> juillet au 31 décembre 2020 pour relancer la consommation des ménages. Depuis le 1</w:t>
      </w:r>
      <w:r w:rsidRPr="00974BBF">
        <w:rPr>
          <w:rFonts w:cs="Times New Roman (Corps CS)"/>
          <w:vertAlign w:val="superscript"/>
        </w:rPr>
        <w:t>er</w:t>
      </w:r>
      <w:r>
        <w:rPr>
          <w:rFonts w:cs="Times New Roman (Corps CS)"/>
        </w:rPr>
        <w:t xml:space="preserve"> janvier 2021, le taux normal de TVA allemand est repassé à son niveau normal de 19%.</w:t>
      </w:r>
    </w:p>
    <w:p w14:paraId="2498DF29" w14:textId="15904B84" w:rsidR="00284B72" w:rsidRDefault="00284B72" w:rsidP="00284B72"/>
    <w:p w14:paraId="5BADD241" w14:textId="457C77AB" w:rsidR="00284B72" w:rsidRDefault="00284B72" w:rsidP="00284B72">
      <w:pPr>
        <w:pStyle w:val="Titre3"/>
      </w:pPr>
      <w:r>
        <w:t xml:space="preserve">B. Les taux réduits </w:t>
      </w:r>
    </w:p>
    <w:p w14:paraId="5307AA8B" w14:textId="77777777" w:rsidR="00284B72" w:rsidRPr="00284B72" w:rsidRDefault="00284B72" w:rsidP="00284B72"/>
    <w:p w14:paraId="6F93E7E6" w14:textId="4759FCCF" w:rsidR="00284B72" w:rsidRDefault="00284B72" w:rsidP="00284B72">
      <w:r>
        <w:t xml:space="preserve">Pour les taux réduits, c’est très compliqué. </w:t>
      </w:r>
    </w:p>
    <w:p w14:paraId="0A229DB8" w14:textId="77777777" w:rsidR="000C72A2" w:rsidRDefault="00284B72" w:rsidP="00284B72">
      <w:r>
        <w:t xml:space="preserve">Plusieurs États ont plusieurs taux réduits mais la plupart en ont deux. </w:t>
      </w:r>
      <w:r w:rsidRPr="003B3B8D">
        <w:rPr>
          <w:bCs/>
        </w:rPr>
        <w:t>Seul le D</w:t>
      </w:r>
      <w:r w:rsidR="003B3B8D">
        <w:rPr>
          <w:bCs/>
        </w:rPr>
        <w:t>anemark</w:t>
      </w:r>
      <w:r w:rsidRPr="003B3B8D">
        <w:rPr>
          <w:bCs/>
        </w:rPr>
        <w:t xml:space="preserve"> n’a pas de taux réduit</w:t>
      </w:r>
      <w:r w:rsidRPr="00132341">
        <w:rPr>
          <w:b/>
        </w:rPr>
        <w:t>.</w:t>
      </w:r>
      <w:r>
        <w:t xml:space="preserve"> </w:t>
      </w:r>
    </w:p>
    <w:p w14:paraId="43648C86" w14:textId="49EFA891" w:rsidR="00284B72" w:rsidRPr="000C72A2" w:rsidRDefault="00284B72" w:rsidP="00284B72">
      <w:pPr>
        <w:rPr>
          <w:b/>
          <w:bCs/>
        </w:rPr>
      </w:pPr>
      <w:r w:rsidRPr="000C72A2">
        <w:rPr>
          <w:b/>
          <w:bCs/>
        </w:rPr>
        <w:t>Par conséquent, 2</w:t>
      </w:r>
      <w:r w:rsidR="006479A9" w:rsidRPr="000C72A2">
        <w:rPr>
          <w:b/>
          <w:bCs/>
        </w:rPr>
        <w:t>6</w:t>
      </w:r>
      <w:r w:rsidRPr="000C72A2">
        <w:rPr>
          <w:b/>
          <w:bCs/>
        </w:rPr>
        <w:t xml:space="preserve"> États sur 2</w:t>
      </w:r>
      <w:r w:rsidR="006479A9" w:rsidRPr="000C72A2">
        <w:rPr>
          <w:b/>
          <w:bCs/>
        </w:rPr>
        <w:t>7</w:t>
      </w:r>
      <w:r w:rsidRPr="000C72A2">
        <w:rPr>
          <w:b/>
          <w:bCs/>
        </w:rPr>
        <w:t xml:space="preserve"> ont des taux réduits.</w:t>
      </w:r>
      <w:r w:rsidRPr="000C72A2">
        <w:rPr>
          <w:b/>
          <w:bCs/>
          <w:u w:val="single"/>
        </w:rPr>
        <w:t xml:space="preserve"> </w:t>
      </w:r>
    </w:p>
    <w:p w14:paraId="74684E96" w14:textId="11F60D49" w:rsidR="00284B72" w:rsidRDefault="00284B72" w:rsidP="00284B72">
      <w:r w:rsidRPr="003B3B8D">
        <w:t xml:space="preserve">Au sein </w:t>
      </w:r>
      <w:r w:rsidR="003B3B8D" w:rsidRPr="003B3B8D">
        <w:t>de</w:t>
      </w:r>
      <w:r w:rsidRPr="003B3B8D">
        <w:t xml:space="preserve"> ces 2</w:t>
      </w:r>
      <w:r w:rsidR="006479A9">
        <w:t>6</w:t>
      </w:r>
      <w:r w:rsidRPr="003B3B8D">
        <w:t xml:space="preserve"> </w:t>
      </w:r>
      <w:r w:rsidR="003B3B8D" w:rsidRPr="003B3B8D">
        <w:t>États</w:t>
      </w:r>
      <w:r w:rsidRPr="003B3B8D">
        <w:t xml:space="preserve">, </w:t>
      </w:r>
      <w:r w:rsidR="00BF5466">
        <w:rPr>
          <w:b/>
          <w:bCs/>
          <w:color w:val="832C6B"/>
        </w:rPr>
        <w:t>6</w:t>
      </w:r>
      <w:r w:rsidRPr="003B3B8D">
        <w:rPr>
          <w:b/>
          <w:bCs/>
          <w:color w:val="832C6B"/>
        </w:rPr>
        <w:t xml:space="preserve"> États</w:t>
      </w:r>
      <w:r w:rsidRPr="003B3B8D">
        <w:t xml:space="preserve"> n’ont qu’un seul taux réduit :</w:t>
      </w:r>
      <w:r>
        <w:t xml:space="preserve"> </w:t>
      </w:r>
      <w:r w:rsidR="003B3B8D">
        <w:t>Allemagne ;</w:t>
      </w:r>
      <w:r>
        <w:t xml:space="preserve"> Bulgarie</w:t>
      </w:r>
      <w:r w:rsidR="003B3B8D">
        <w:t> ;</w:t>
      </w:r>
      <w:r>
        <w:t xml:space="preserve"> </w:t>
      </w:r>
      <w:r w:rsidR="003B3B8D">
        <w:t>Espagne ;</w:t>
      </w:r>
      <w:r>
        <w:t xml:space="preserve"> Estonie</w:t>
      </w:r>
      <w:r w:rsidR="003B3B8D">
        <w:t> ;</w:t>
      </w:r>
      <w:r>
        <w:t xml:space="preserve"> Pays-Bas</w:t>
      </w:r>
      <w:r w:rsidR="006479A9">
        <w:t xml:space="preserve"> </w:t>
      </w:r>
      <w:r w:rsidR="003B3B8D">
        <w:t>;</w:t>
      </w:r>
      <w:r>
        <w:t xml:space="preserve"> et Slo</w:t>
      </w:r>
      <w:r w:rsidR="00BF5466">
        <w:t>vaquie</w:t>
      </w:r>
      <w:r>
        <w:t xml:space="preserve">. </w:t>
      </w:r>
      <w:r w:rsidR="004B78D3">
        <w:t>Sur ces 6 pays, l’Espagne est la seule à avoir en plus un petit taux super-réduit qui ne compte quasiment pas.</w:t>
      </w:r>
    </w:p>
    <w:p w14:paraId="53EA16B0" w14:textId="18CFEBC7" w:rsidR="00284B72" w:rsidRDefault="00284B72" w:rsidP="00284B72">
      <w:r>
        <w:t xml:space="preserve">Les </w:t>
      </w:r>
      <w:r w:rsidR="00BF5466">
        <w:t>20</w:t>
      </w:r>
      <w:r>
        <w:t xml:space="preserve"> autres pays ont 2 taux réduits : le premier qui est le plus élevé que l’on appellera le </w:t>
      </w:r>
      <w:r w:rsidRPr="003B3B8D">
        <w:rPr>
          <w:b/>
          <w:bCs/>
          <w:color w:val="832C6B"/>
        </w:rPr>
        <w:t>taux intermédiaire</w:t>
      </w:r>
      <w:r>
        <w:t xml:space="preserve"> et un second taux réduit plus petit</w:t>
      </w:r>
      <w:r w:rsidR="00BF5466">
        <w:t xml:space="preserve"> qu’on appelle tout simplement le taux réduit.</w:t>
      </w:r>
    </w:p>
    <w:p w14:paraId="6A2BBBFD" w14:textId="4A1CC9C9" w:rsidR="00284B72" w:rsidRDefault="00284B72" w:rsidP="00284B72">
      <w:r>
        <w:t xml:space="preserve">Ces taux réduits portent sur la livraison de </w:t>
      </w:r>
      <w:r w:rsidR="002D4DDA">
        <w:t xml:space="preserve">24 </w:t>
      </w:r>
      <w:r>
        <w:t xml:space="preserve">biens et services spécifiques fixés par </w:t>
      </w:r>
      <w:hyperlink r:id="rId42" w:history="1">
        <w:r w:rsidRPr="003B3B8D">
          <w:rPr>
            <w:rStyle w:val="Lienhypertexte"/>
          </w:rPr>
          <w:t>l’annexe III de la Directive TVA</w:t>
        </w:r>
      </w:hyperlink>
      <w:r w:rsidR="003B3B8D">
        <w:rPr>
          <w:rStyle w:val="Lienhypertexte"/>
          <w:u w:val="none"/>
        </w:rPr>
        <w:t xml:space="preserve"> </w:t>
      </w:r>
      <w:r w:rsidR="003B3B8D" w:rsidRPr="003B3B8D">
        <w:t>(p. 69)</w:t>
      </w:r>
      <w:r w:rsidRPr="003B3B8D">
        <w:t>.</w:t>
      </w:r>
      <w:r>
        <w:t xml:space="preserve"> Mais dans la majorité des cas, ils ne s’appliquent pas aux services fournis par voie électronique. </w:t>
      </w:r>
    </w:p>
    <w:p w14:paraId="1EF0472B" w14:textId="6D9BCF40" w:rsidR="00004287" w:rsidRDefault="00284B72" w:rsidP="00EC7165">
      <w:r>
        <w:t>Les taux réduits ne peuvent pas être inférieurs à un plancher de 5%.</w:t>
      </w:r>
    </w:p>
    <w:p w14:paraId="0D6AB9F9" w14:textId="526D3257" w:rsidR="00284B72" w:rsidRDefault="00284B72" w:rsidP="00EC7165"/>
    <w:p w14:paraId="423105E0" w14:textId="73A5DA96" w:rsidR="00284B72" w:rsidRDefault="00284B72" w:rsidP="00284B72">
      <w:pPr>
        <w:pStyle w:val="Titre4"/>
      </w:pPr>
      <w:r>
        <w:t xml:space="preserve">1. Le taux </w:t>
      </w:r>
      <w:r w:rsidRPr="00284B72">
        <w:t>intermédiaire</w:t>
      </w:r>
      <w:r>
        <w:t> </w:t>
      </w:r>
    </w:p>
    <w:p w14:paraId="3CBFA1FB" w14:textId="1EB5ECD5" w:rsidR="00284B72" w:rsidRDefault="00284B72" w:rsidP="00EC7165"/>
    <w:p w14:paraId="444B6844" w14:textId="233B3B08" w:rsidR="00284B72" w:rsidRDefault="00284B72" w:rsidP="00EC7165">
      <w:r>
        <w:t>C’est le taux réduit le plus élevé. Sur les 2</w:t>
      </w:r>
      <w:r w:rsidR="004E4E3F">
        <w:t>6</w:t>
      </w:r>
      <w:r>
        <w:t xml:space="preserve"> États membres de l’UE qui ont un taux intermédiaire, 15 ont </w:t>
      </w:r>
      <w:proofErr w:type="gramStart"/>
      <w:r>
        <w:t>des taux supérieur</w:t>
      </w:r>
      <w:proofErr w:type="gramEnd"/>
      <w:r>
        <w:t xml:space="preserve"> à 10%</w:t>
      </w:r>
      <w:r w:rsidR="00BF5466">
        <w:t>, 4 appliquent le taux de 10% tout rond</w:t>
      </w:r>
      <w:r>
        <w:t xml:space="preserve"> et 12 États </w:t>
      </w:r>
      <w:r w:rsidR="00BF5466">
        <w:t xml:space="preserve">sont </w:t>
      </w:r>
      <w:r>
        <w:t xml:space="preserve">en dessous de 10%. </w:t>
      </w:r>
    </w:p>
    <w:p w14:paraId="230E0867" w14:textId="6C650EDD" w:rsidR="00284B72" w:rsidRDefault="00284B72" w:rsidP="00EC7165"/>
    <w:p w14:paraId="7BF81E01" w14:textId="44856844" w:rsidR="00284B72" w:rsidRDefault="00284B72" w:rsidP="000A2812">
      <w:pPr>
        <w:pStyle w:val="Titre5"/>
      </w:pPr>
      <w:r>
        <w:lastRenderedPageBreak/>
        <w:t xml:space="preserve">a. </w:t>
      </w:r>
      <w:r w:rsidR="000A2812">
        <w:t xml:space="preserve">Le taux intermédiaire supérieur à 10% </w:t>
      </w:r>
    </w:p>
    <w:p w14:paraId="4CFDDEAE" w14:textId="4254A6AE" w:rsidR="000A2812" w:rsidRDefault="000A2812" w:rsidP="00EC7165"/>
    <w:p w14:paraId="524A79CB" w14:textId="3EEC145D" w:rsidR="000A2812" w:rsidRDefault="000A2812" w:rsidP="00BF5466">
      <w:pPr>
        <w:pStyle w:val="Paragraphedeliste"/>
        <w:numPr>
          <w:ilvl w:val="0"/>
          <w:numId w:val="34"/>
        </w:numPr>
      </w:pPr>
      <w:r>
        <w:t xml:space="preserve">États ont </w:t>
      </w:r>
      <w:r w:rsidR="00BF5466">
        <w:t>des</w:t>
      </w:r>
      <w:r>
        <w:t xml:space="preserve"> taux</w:t>
      </w:r>
      <w:r w:rsidR="00BF5466">
        <w:t xml:space="preserve"> supérieurs à 10%</w:t>
      </w:r>
      <w:r>
        <w:t xml:space="preserve"> : </w:t>
      </w:r>
    </w:p>
    <w:p w14:paraId="58F3DC88" w14:textId="77777777" w:rsidR="000A2812" w:rsidRDefault="000A2812" w:rsidP="000A2812">
      <w:pPr>
        <w:pStyle w:val="Paragraphedeliste"/>
        <w:numPr>
          <w:ilvl w:val="0"/>
          <w:numId w:val="10"/>
        </w:numPr>
      </w:pPr>
      <w:r>
        <w:t xml:space="preserve">18% pour la </w:t>
      </w:r>
      <w:r w:rsidRPr="003B3B8D">
        <w:rPr>
          <w:b/>
          <w:bCs/>
        </w:rPr>
        <w:t>Hongrie</w:t>
      </w:r>
      <w:r>
        <w:t xml:space="preserve"> qui est la championne d’Europe.</w:t>
      </w:r>
    </w:p>
    <w:p w14:paraId="4F7DC8D9" w14:textId="3433B0B2" w:rsidR="000A2812" w:rsidRDefault="000A2812" w:rsidP="000A2812">
      <w:pPr>
        <w:pStyle w:val="Paragraphedeliste"/>
        <w:numPr>
          <w:ilvl w:val="0"/>
          <w:numId w:val="10"/>
        </w:numPr>
      </w:pPr>
      <w:r>
        <w:t xml:space="preserve">15% en </w:t>
      </w:r>
      <w:r w:rsidRPr="003B3B8D">
        <w:rPr>
          <w:b/>
          <w:bCs/>
        </w:rPr>
        <w:t>République Tchèque</w:t>
      </w:r>
      <w:r>
        <w:t>.</w:t>
      </w:r>
    </w:p>
    <w:p w14:paraId="55CE4BE1" w14:textId="3E0E6C63" w:rsidR="000A2812" w:rsidRDefault="000A2812" w:rsidP="000A2812">
      <w:pPr>
        <w:pStyle w:val="Paragraphedeliste"/>
        <w:numPr>
          <w:ilvl w:val="0"/>
          <w:numId w:val="10"/>
        </w:numPr>
      </w:pPr>
      <w:r>
        <w:t xml:space="preserve">14% en </w:t>
      </w:r>
      <w:r w:rsidRPr="003B3B8D">
        <w:rPr>
          <w:b/>
          <w:bCs/>
        </w:rPr>
        <w:t>Finlande</w:t>
      </w:r>
      <w:r>
        <w:t>.</w:t>
      </w:r>
    </w:p>
    <w:p w14:paraId="2A36F317" w14:textId="4A60F5FE" w:rsidR="000A2812" w:rsidRDefault="000A2812" w:rsidP="000A2812">
      <w:pPr>
        <w:pStyle w:val="Paragraphedeliste"/>
        <w:numPr>
          <w:ilvl w:val="0"/>
          <w:numId w:val="10"/>
        </w:numPr>
      </w:pPr>
      <w:r>
        <w:t xml:space="preserve">13,5% en </w:t>
      </w:r>
      <w:r w:rsidRPr="003B3B8D">
        <w:rPr>
          <w:b/>
          <w:bCs/>
        </w:rPr>
        <w:t>Irlande</w:t>
      </w:r>
      <w:r>
        <w:t>.</w:t>
      </w:r>
    </w:p>
    <w:p w14:paraId="7D203D71" w14:textId="615031D1" w:rsidR="000A2812" w:rsidRDefault="000A2812" w:rsidP="000A2812">
      <w:pPr>
        <w:pStyle w:val="Paragraphedeliste"/>
        <w:numPr>
          <w:ilvl w:val="0"/>
          <w:numId w:val="10"/>
        </w:numPr>
      </w:pPr>
      <w:r>
        <w:t xml:space="preserve">13% </w:t>
      </w:r>
      <w:r w:rsidR="003B3B8D">
        <w:t xml:space="preserve">en </w:t>
      </w:r>
      <w:r w:rsidRPr="003B3B8D">
        <w:rPr>
          <w:b/>
          <w:bCs/>
        </w:rPr>
        <w:t>Autriche</w:t>
      </w:r>
      <w:r>
        <w:t xml:space="preserve">, </w:t>
      </w:r>
      <w:r w:rsidRPr="003B3B8D">
        <w:rPr>
          <w:b/>
          <w:bCs/>
        </w:rPr>
        <w:t>Croatie</w:t>
      </w:r>
      <w:r>
        <w:t xml:space="preserve">, </w:t>
      </w:r>
      <w:r w:rsidRPr="003B3B8D">
        <w:rPr>
          <w:b/>
          <w:bCs/>
        </w:rPr>
        <w:t>Grèce</w:t>
      </w:r>
      <w:r w:rsidR="004310CC">
        <w:rPr>
          <w:b/>
          <w:bCs/>
        </w:rPr>
        <w:t>, Luxembourg</w:t>
      </w:r>
      <w:r>
        <w:t xml:space="preserve"> et </w:t>
      </w:r>
      <w:r w:rsidRPr="003B3B8D">
        <w:rPr>
          <w:b/>
          <w:bCs/>
        </w:rPr>
        <w:t>Portugal</w:t>
      </w:r>
      <w:r>
        <w:t>.</w:t>
      </w:r>
    </w:p>
    <w:p w14:paraId="77572BEA" w14:textId="231AE47E" w:rsidR="003B3B8D" w:rsidRDefault="003B3B8D" w:rsidP="000A2812">
      <w:pPr>
        <w:pStyle w:val="Paragraphedeliste"/>
        <w:numPr>
          <w:ilvl w:val="0"/>
          <w:numId w:val="10"/>
        </w:numPr>
      </w:pPr>
      <w:r>
        <w:t xml:space="preserve">12% en </w:t>
      </w:r>
      <w:r w:rsidRPr="003B3B8D">
        <w:rPr>
          <w:b/>
          <w:bCs/>
        </w:rPr>
        <w:t>Belgique</w:t>
      </w:r>
      <w:r>
        <w:t xml:space="preserve">, </w:t>
      </w:r>
      <w:r w:rsidRPr="003B3B8D">
        <w:rPr>
          <w:b/>
          <w:bCs/>
        </w:rPr>
        <w:t>Lettonie</w:t>
      </w:r>
      <w:r>
        <w:t xml:space="preserve"> et </w:t>
      </w:r>
      <w:r w:rsidRPr="003B3B8D">
        <w:rPr>
          <w:b/>
          <w:bCs/>
        </w:rPr>
        <w:t>Suède</w:t>
      </w:r>
      <w:r>
        <w:t xml:space="preserve">. </w:t>
      </w:r>
    </w:p>
    <w:p w14:paraId="5F9D9170" w14:textId="0B2AF0D2" w:rsidR="000A2812" w:rsidRPr="000A2812" w:rsidRDefault="000A2812" w:rsidP="00DD1273">
      <w:pPr>
        <w:pStyle w:val="Remarque"/>
        <w:jc w:val="both"/>
      </w:pPr>
      <w:r w:rsidRPr="000A2812">
        <w:t>Au Portugal, ce taux a été jugé insuffisant par le gouvernement qui a fait voter en 2020 un relèvement du taux sur certaines activités interdites dans de nombreux États membres pour lesquelles le taux de TVA passe du taux intermédiaire à 13% au taux normal à 23%</w:t>
      </w:r>
      <w:r w:rsidR="003B3B8D">
        <w:t xml:space="preserve"> </w:t>
      </w:r>
      <w:r w:rsidRPr="000A2812">
        <w:t xml:space="preserve">(soit +10%) : activités de tauromachie, droits d’entrée dans les musées, les zoos, les jardins botaniques et les aquariums. </w:t>
      </w:r>
    </w:p>
    <w:p w14:paraId="675158EE" w14:textId="77777777" w:rsidR="005B1FB0" w:rsidRDefault="005B1FB0" w:rsidP="000A2812">
      <w:pPr>
        <w:rPr>
          <w:rFonts w:cs="Times New Roman (Corps CS)"/>
        </w:rPr>
      </w:pPr>
    </w:p>
    <w:p w14:paraId="21FBF4EC" w14:textId="56724321" w:rsidR="000A2812" w:rsidRDefault="000A2812" w:rsidP="000A2812"/>
    <w:p w14:paraId="78862020" w14:textId="540A540D" w:rsidR="000A2812" w:rsidRDefault="000A2812" w:rsidP="000A2812">
      <w:pPr>
        <w:pStyle w:val="Titre5"/>
      </w:pPr>
      <w:r>
        <w:t xml:space="preserve">b. Le taux intermédiaire à 10% </w:t>
      </w:r>
      <w:r w:rsidR="005B1FB0">
        <w:t>exactement</w:t>
      </w:r>
    </w:p>
    <w:p w14:paraId="28597459" w14:textId="0DD66BA0" w:rsidR="000A2812" w:rsidRDefault="000A2812" w:rsidP="000A2812"/>
    <w:p w14:paraId="75EB7E96" w14:textId="68B55DE3" w:rsidR="000A2812" w:rsidRDefault="000A2812" w:rsidP="000A2812">
      <w:r>
        <w:t xml:space="preserve">4 États </w:t>
      </w:r>
      <w:r w:rsidR="00BF5466">
        <w:t>dont la France appliquent</w:t>
      </w:r>
      <w:r>
        <w:t xml:space="preserve"> ce taux : </w:t>
      </w:r>
    </w:p>
    <w:p w14:paraId="77767ECD" w14:textId="50B2A83D" w:rsidR="000A2812" w:rsidRPr="003B3B8D" w:rsidRDefault="000A2812" w:rsidP="000A2812">
      <w:pPr>
        <w:pStyle w:val="Paragraphedeliste"/>
        <w:numPr>
          <w:ilvl w:val="0"/>
          <w:numId w:val="12"/>
        </w:numPr>
        <w:rPr>
          <w:b/>
          <w:bCs/>
        </w:rPr>
      </w:pPr>
      <w:r w:rsidRPr="003B3B8D">
        <w:rPr>
          <w:b/>
          <w:bCs/>
        </w:rPr>
        <w:t>Espagne</w:t>
      </w:r>
    </w:p>
    <w:p w14:paraId="70ED1B93" w14:textId="050AAE34" w:rsidR="000A2812" w:rsidRPr="003B3B8D" w:rsidRDefault="000A2812" w:rsidP="000A2812">
      <w:pPr>
        <w:pStyle w:val="Paragraphedeliste"/>
        <w:numPr>
          <w:ilvl w:val="0"/>
          <w:numId w:val="12"/>
        </w:numPr>
        <w:rPr>
          <w:b/>
          <w:bCs/>
        </w:rPr>
      </w:pPr>
      <w:r w:rsidRPr="003B3B8D">
        <w:rPr>
          <w:b/>
          <w:bCs/>
        </w:rPr>
        <w:t>France</w:t>
      </w:r>
    </w:p>
    <w:p w14:paraId="64D79082" w14:textId="1492B866" w:rsidR="000A2812" w:rsidRPr="003B3B8D" w:rsidRDefault="000A2812" w:rsidP="000A2812">
      <w:pPr>
        <w:pStyle w:val="Paragraphedeliste"/>
        <w:numPr>
          <w:ilvl w:val="0"/>
          <w:numId w:val="12"/>
        </w:numPr>
        <w:rPr>
          <w:b/>
          <w:bCs/>
        </w:rPr>
      </w:pPr>
      <w:r w:rsidRPr="003B3B8D">
        <w:rPr>
          <w:b/>
          <w:bCs/>
        </w:rPr>
        <w:t xml:space="preserve">Italie </w:t>
      </w:r>
    </w:p>
    <w:p w14:paraId="6A882133" w14:textId="4863652C" w:rsidR="000A2812" w:rsidRPr="003B3B8D" w:rsidRDefault="000A2812" w:rsidP="000A2812">
      <w:pPr>
        <w:pStyle w:val="Paragraphedeliste"/>
        <w:numPr>
          <w:ilvl w:val="0"/>
          <w:numId w:val="12"/>
        </w:numPr>
        <w:rPr>
          <w:b/>
          <w:bCs/>
        </w:rPr>
      </w:pPr>
      <w:r w:rsidRPr="003B3B8D">
        <w:rPr>
          <w:b/>
          <w:bCs/>
        </w:rPr>
        <w:t>Slovaquie</w:t>
      </w:r>
    </w:p>
    <w:p w14:paraId="7E7538C9" w14:textId="72107259" w:rsidR="000A2812" w:rsidRDefault="000A2812" w:rsidP="000A2812"/>
    <w:p w14:paraId="7BFFBFEE" w14:textId="15A0A888" w:rsidR="000A2812" w:rsidRDefault="000A2812" w:rsidP="000A2812">
      <w:pPr>
        <w:pStyle w:val="Titre5"/>
      </w:pPr>
      <w:r>
        <w:t xml:space="preserve">c. Le taux intermédiaire inférieur à 10% </w:t>
      </w:r>
    </w:p>
    <w:p w14:paraId="4F6E304A" w14:textId="265F8088" w:rsidR="000A2812" w:rsidRDefault="000A2812" w:rsidP="000A2812"/>
    <w:p w14:paraId="38D2B5C7" w14:textId="3F0068E9" w:rsidR="000A2812" w:rsidRDefault="000A2812" w:rsidP="000A2812">
      <w:r>
        <w:t>1</w:t>
      </w:r>
      <w:r w:rsidR="00BF5466">
        <w:t>0</w:t>
      </w:r>
      <w:r>
        <w:t xml:space="preserve"> États ont </w:t>
      </w:r>
      <w:r w:rsidR="00BF5466">
        <w:t>des petits</w:t>
      </w:r>
      <w:r>
        <w:t xml:space="preserve"> taux</w:t>
      </w:r>
      <w:r w:rsidR="00BF5466">
        <w:t xml:space="preserve"> inférieurs à 10%</w:t>
      </w:r>
      <w:r>
        <w:t xml:space="preserve"> : </w:t>
      </w:r>
    </w:p>
    <w:p w14:paraId="5E41FDB4" w14:textId="77777777" w:rsidR="000A2812" w:rsidRPr="000A2812" w:rsidRDefault="000A2812" w:rsidP="000A2812">
      <w:pPr>
        <w:pStyle w:val="Paragraphedeliste"/>
        <w:numPr>
          <w:ilvl w:val="0"/>
          <w:numId w:val="14"/>
        </w:numPr>
      </w:pPr>
      <w:r>
        <w:t xml:space="preserve">9,5% pour la </w:t>
      </w:r>
      <w:r w:rsidRPr="000A2812">
        <w:rPr>
          <w:b/>
        </w:rPr>
        <w:t>Slovénie</w:t>
      </w:r>
    </w:p>
    <w:p w14:paraId="1E543BDE" w14:textId="4E011BD3" w:rsidR="000A2812" w:rsidRDefault="000A2812" w:rsidP="000A2812">
      <w:pPr>
        <w:pStyle w:val="Paragraphedeliste"/>
        <w:numPr>
          <w:ilvl w:val="0"/>
          <w:numId w:val="14"/>
        </w:numPr>
      </w:pPr>
      <w:r>
        <w:t xml:space="preserve">9% pour la </w:t>
      </w:r>
      <w:r w:rsidRPr="000A2812">
        <w:rPr>
          <w:b/>
        </w:rPr>
        <w:t>Bulgarie</w:t>
      </w:r>
      <w:r>
        <w:t xml:space="preserve">, </w:t>
      </w:r>
      <w:r w:rsidRPr="003B3B8D">
        <w:rPr>
          <w:b/>
          <w:bCs/>
        </w:rPr>
        <w:t>Chypre</w:t>
      </w:r>
      <w:r>
        <w:t xml:space="preserve">, </w:t>
      </w:r>
      <w:r w:rsidRPr="000A2812">
        <w:rPr>
          <w:b/>
        </w:rPr>
        <w:t>Estonie</w:t>
      </w:r>
      <w:r>
        <w:t xml:space="preserve">, </w:t>
      </w:r>
      <w:r w:rsidRPr="003B3B8D">
        <w:rPr>
          <w:b/>
          <w:bCs/>
        </w:rPr>
        <w:t>Lituanie</w:t>
      </w:r>
      <w:r>
        <w:t xml:space="preserve">, </w:t>
      </w:r>
      <w:r w:rsidRPr="003B3B8D">
        <w:rPr>
          <w:b/>
          <w:bCs/>
        </w:rPr>
        <w:t>Roumanie</w:t>
      </w:r>
      <w:r>
        <w:t xml:space="preserve"> et </w:t>
      </w:r>
      <w:r w:rsidRPr="000A2812">
        <w:rPr>
          <w:b/>
        </w:rPr>
        <w:t>P</w:t>
      </w:r>
      <w:r w:rsidR="003B3B8D">
        <w:rPr>
          <w:b/>
        </w:rPr>
        <w:t>ays-</w:t>
      </w:r>
      <w:r w:rsidRPr="000A2812">
        <w:rPr>
          <w:b/>
        </w:rPr>
        <w:t>B</w:t>
      </w:r>
      <w:r w:rsidR="003B3B8D">
        <w:rPr>
          <w:b/>
        </w:rPr>
        <w:t>as</w:t>
      </w:r>
      <w:r>
        <w:t>.</w:t>
      </w:r>
    </w:p>
    <w:p w14:paraId="2844BCED" w14:textId="2808FC40" w:rsidR="000A2812" w:rsidRDefault="000A2812" w:rsidP="000A2812">
      <w:pPr>
        <w:pStyle w:val="Paragraphedeliste"/>
        <w:numPr>
          <w:ilvl w:val="0"/>
          <w:numId w:val="14"/>
        </w:numPr>
      </w:pPr>
      <w:r>
        <w:t xml:space="preserve">8% pour la </w:t>
      </w:r>
      <w:r w:rsidRPr="003B3B8D">
        <w:rPr>
          <w:b/>
          <w:bCs/>
        </w:rPr>
        <w:t>Pologn</w:t>
      </w:r>
      <w:r w:rsidR="00BF5466">
        <w:rPr>
          <w:b/>
          <w:bCs/>
        </w:rPr>
        <w:t>e</w:t>
      </w:r>
      <w:r>
        <w:t>.</w:t>
      </w:r>
    </w:p>
    <w:p w14:paraId="3E3A1CB1" w14:textId="77777777" w:rsidR="000A2812" w:rsidRDefault="000A2812" w:rsidP="000A2812">
      <w:pPr>
        <w:pStyle w:val="Paragraphedeliste"/>
        <w:numPr>
          <w:ilvl w:val="0"/>
          <w:numId w:val="14"/>
        </w:numPr>
      </w:pPr>
      <w:r>
        <w:t xml:space="preserve">7% pour </w:t>
      </w:r>
      <w:r w:rsidRPr="000A2812">
        <w:rPr>
          <w:b/>
        </w:rPr>
        <w:t>l’Allemagne</w:t>
      </w:r>
      <w:r>
        <w:t xml:space="preserve"> et </w:t>
      </w:r>
      <w:r w:rsidRPr="003B3B8D">
        <w:rPr>
          <w:b/>
          <w:bCs/>
        </w:rPr>
        <w:t>Malte</w:t>
      </w:r>
      <w:r>
        <w:t xml:space="preserve">. </w:t>
      </w:r>
    </w:p>
    <w:p w14:paraId="6AC24E9D" w14:textId="347FEE33" w:rsidR="000A2812" w:rsidRDefault="000A2812" w:rsidP="000A2812">
      <w:r>
        <w:t>Voilà pour le taux intermédiaire. On ne compliquera pas pour détailler l’assiette car on en parlera dans l</w:t>
      </w:r>
      <w:r w:rsidR="003B3B8D">
        <w:t>e §</w:t>
      </w:r>
      <w:r>
        <w:t>2 concernant l</w:t>
      </w:r>
      <w:r w:rsidR="003B3B8D">
        <w:t>e taux de la TVA en</w:t>
      </w:r>
      <w:r>
        <w:t xml:space="preserve"> France. </w:t>
      </w:r>
    </w:p>
    <w:p w14:paraId="361B88D9" w14:textId="14A89032" w:rsidR="00974BBF" w:rsidRPr="00583F39" w:rsidRDefault="00974BBF" w:rsidP="00974BBF">
      <w:pPr>
        <w:jc w:val="both"/>
        <w:rPr>
          <w:rFonts w:cs="Times New Roman (Corps CS)"/>
        </w:rPr>
      </w:pPr>
      <w:r>
        <w:rPr>
          <w:rFonts w:cs="Times New Roman (Corps CS)"/>
        </w:rPr>
        <w:t>Petite précision concernant l’Allemagne : le taux réduit allemand était à 5% jusqu’au 1</w:t>
      </w:r>
      <w:r w:rsidRPr="00974BBF">
        <w:rPr>
          <w:rFonts w:cs="Times New Roman (Corps CS)"/>
          <w:vertAlign w:val="superscript"/>
        </w:rPr>
        <w:t>er</w:t>
      </w:r>
      <w:r>
        <w:rPr>
          <w:rFonts w:cs="Times New Roman (Corps CS)"/>
        </w:rPr>
        <w:t xml:space="preserve"> janvier 2007. Puis il a été décidé de le relever à 7% ce qui a occasionné des gains importants pour les Finances publiques de l’Etat. Puis, pour tenir compte de la crise sanitaire, le taux réduit de TVA allemand a été rabaissé à 5% du 1</w:t>
      </w:r>
      <w:r w:rsidRPr="00974BBF">
        <w:rPr>
          <w:rFonts w:cs="Times New Roman (Corps CS)"/>
          <w:vertAlign w:val="superscript"/>
        </w:rPr>
        <w:t>er</w:t>
      </w:r>
      <w:r>
        <w:rPr>
          <w:rFonts w:cs="Times New Roman (Corps CS)"/>
        </w:rPr>
        <w:t xml:space="preserve"> juillet au 31 décembre 2020 pour relancer la consommation des ménages. Depuis le 1</w:t>
      </w:r>
      <w:r w:rsidRPr="00974BBF">
        <w:rPr>
          <w:rFonts w:cs="Times New Roman (Corps CS)"/>
          <w:vertAlign w:val="superscript"/>
        </w:rPr>
        <w:t>er</w:t>
      </w:r>
      <w:r>
        <w:rPr>
          <w:rFonts w:cs="Times New Roman (Corps CS)"/>
        </w:rPr>
        <w:t xml:space="preserve"> janvier 2021, le taux réduit de TVA allemand est repassé à son niveau normal de 7%.</w:t>
      </w:r>
    </w:p>
    <w:p w14:paraId="2AE1DE57" w14:textId="77777777" w:rsidR="00974BBF" w:rsidRDefault="00974BBF" w:rsidP="000A2812"/>
    <w:p w14:paraId="3B4EC99B" w14:textId="3F6D8C2E" w:rsidR="000A2812" w:rsidRDefault="000A2812" w:rsidP="000A2812"/>
    <w:p w14:paraId="438463D8" w14:textId="77777777" w:rsidR="0034504F" w:rsidRDefault="0034504F" w:rsidP="000A2812"/>
    <w:p w14:paraId="467511E2" w14:textId="09E23885" w:rsidR="000A2812" w:rsidRDefault="000A2812" w:rsidP="000A2812">
      <w:pPr>
        <w:pStyle w:val="Titre4"/>
      </w:pPr>
      <w:r>
        <w:lastRenderedPageBreak/>
        <w:t>2. Le taux ré</w:t>
      </w:r>
      <w:r w:rsidR="005B1FB0">
        <w:t>duit</w:t>
      </w:r>
    </w:p>
    <w:p w14:paraId="0588EB6B" w14:textId="7E056AFC" w:rsidR="000A2812" w:rsidRDefault="000A2812" w:rsidP="000A2812">
      <w:r>
        <w:t xml:space="preserve">(On </w:t>
      </w:r>
      <w:r w:rsidRPr="005545C9">
        <w:rPr>
          <w:rFonts w:cs="Times New Roman (Corps CS)"/>
        </w:rPr>
        <w:t>l’appellera tout simplement</w:t>
      </w:r>
      <w:r>
        <w:t xml:space="preserve"> le taux réduit pour ne pas le confondre avec le taux intermédiaire) :</w:t>
      </w:r>
    </w:p>
    <w:p w14:paraId="1E4EACD4" w14:textId="49099AE4" w:rsidR="000A2812" w:rsidRDefault="000A2812" w:rsidP="000A2812">
      <w:r>
        <w:t>Sur 2</w:t>
      </w:r>
      <w:r w:rsidR="004E4E3F">
        <w:t>6</w:t>
      </w:r>
      <w:r>
        <w:t xml:space="preserve"> États qui ont des taux réduits, nous avons vu que </w:t>
      </w:r>
      <w:r w:rsidR="00DD1273">
        <w:t>6</w:t>
      </w:r>
      <w:r>
        <w:t xml:space="preserve"> États n’en ont qu’un seul. Par conséquent il reste </w:t>
      </w:r>
      <w:r w:rsidR="00DD1273">
        <w:t>20</w:t>
      </w:r>
      <w:r>
        <w:t xml:space="preserve"> États qui utilisent un second taux réduit qui n’est pas le même. </w:t>
      </w:r>
    </w:p>
    <w:p w14:paraId="42D167CF" w14:textId="77777777" w:rsidR="00096FC7" w:rsidRPr="000A2812" w:rsidRDefault="00096FC7" w:rsidP="000A2812"/>
    <w:tbl>
      <w:tblPr>
        <w:tblStyle w:val="Grilledutableau"/>
        <w:tblW w:w="0" w:type="auto"/>
        <w:jc w:val="center"/>
        <w:tblLook w:val="04A0" w:firstRow="1" w:lastRow="0" w:firstColumn="1" w:lastColumn="0" w:noHBand="0" w:noVBand="1"/>
      </w:tblPr>
      <w:tblGrid>
        <w:gridCol w:w="2943"/>
        <w:gridCol w:w="1843"/>
      </w:tblGrid>
      <w:tr w:rsidR="003B3B8D" w14:paraId="5A314665" w14:textId="77777777" w:rsidTr="00DD1273">
        <w:trPr>
          <w:jc w:val="center"/>
        </w:trPr>
        <w:tc>
          <w:tcPr>
            <w:tcW w:w="2943" w:type="dxa"/>
            <w:shd w:val="clear" w:color="auto" w:fill="F2F2F2" w:themeFill="background1" w:themeFillShade="F2"/>
          </w:tcPr>
          <w:p w14:paraId="66F7914C" w14:textId="2C602076" w:rsidR="003B3B8D" w:rsidRDefault="003B3B8D" w:rsidP="000A2812">
            <w:r>
              <w:t>Pays</w:t>
            </w:r>
          </w:p>
        </w:tc>
        <w:tc>
          <w:tcPr>
            <w:tcW w:w="1843" w:type="dxa"/>
            <w:shd w:val="clear" w:color="auto" w:fill="F2F2F2" w:themeFill="background1" w:themeFillShade="F2"/>
          </w:tcPr>
          <w:p w14:paraId="428DEFB2" w14:textId="08AFCFA8" w:rsidR="003B3B8D" w:rsidRDefault="003B3B8D" w:rsidP="00DD1273">
            <w:pPr>
              <w:jc w:val="center"/>
            </w:pPr>
            <w:r>
              <w:t>Taux réduit</w:t>
            </w:r>
          </w:p>
        </w:tc>
      </w:tr>
      <w:tr w:rsidR="003B3B8D" w14:paraId="2F5FDF6A" w14:textId="77777777" w:rsidTr="00DD1273">
        <w:trPr>
          <w:jc w:val="center"/>
        </w:trPr>
        <w:tc>
          <w:tcPr>
            <w:tcW w:w="2943" w:type="dxa"/>
          </w:tcPr>
          <w:p w14:paraId="2F667C84" w14:textId="01BF6357" w:rsidR="003B3B8D" w:rsidRDefault="003B3B8D" w:rsidP="000A2812">
            <w:r>
              <w:t>Autriche, Finlande, République-Tchèque</w:t>
            </w:r>
          </w:p>
        </w:tc>
        <w:tc>
          <w:tcPr>
            <w:tcW w:w="1843" w:type="dxa"/>
          </w:tcPr>
          <w:p w14:paraId="09C3960B" w14:textId="24C9279E" w:rsidR="003B3B8D" w:rsidRDefault="003B3B8D" w:rsidP="00DD1273">
            <w:pPr>
              <w:jc w:val="center"/>
            </w:pPr>
            <w:r>
              <w:t>10%</w:t>
            </w:r>
          </w:p>
        </w:tc>
      </w:tr>
      <w:tr w:rsidR="003B3B8D" w14:paraId="45B72E75" w14:textId="77777777" w:rsidTr="00DD1273">
        <w:trPr>
          <w:jc w:val="center"/>
        </w:trPr>
        <w:tc>
          <w:tcPr>
            <w:tcW w:w="2943" w:type="dxa"/>
            <w:shd w:val="clear" w:color="auto" w:fill="F2F2F2" w:themeFill="background1" w:themeFillShade="F2"/>
          </w:tcPr>
          <w:p w14:paraId="0C0AC0EC" w14:textId="41213832" w:rsidR="003B3B8D" w:rsidRDefault="003B3B8D" w:rsidP="000A2812">
            <w:r>
              <w:t>Irlande</w:t>
            </w:r>
          </w:p>
        </w:tc>
        <w:tc>
          <w:tcPr>
            <w:tcW w:w="1843" w:type="dxa"/>
            <w:shd w:val="clear" w:color="auto" w:fill="F2F2F2" w:themeFill="background1" w:themeFillShade="F2"/>
          </w:tcPr>
          <w:p w14:paraId="1397E84B" w14:textId="66AED663" w:rsidR="003B3B8D" w:rsidRDefault="003B3B8D" w:rsidP="00DD1273">
            <w:pPr>
              <w:jc w:val="center"/>
            </w:pPr>
            <w:r>
              <w:t>9%</w:t>
            </w:r>
          </w:p>
        </w:tc>
      </w:tr>
      <w:tr w:rsidR="003B3B8D" w14:paraId="7FB5F36E" w14:textId="77777777" w:rsidTr="00DD1273">
        <w:trPr>
          <w:jc w:val="center"/>
        </w:trPr>
        <w:tc>
          <w:tcPr>
            <w:tcW w:w="2943" w:type="dxa"/>
          </w:tcPr>
          <w:p w14:paraId="1F7E1499" w14:textId="221D8DF4" w:rsidR="003B3B8D" w:rsidRDefault="003B3B8D" w:rsidP="000A2812">
            <w:r>
              <w:t>Belgique, Grèce, Portugal, Suède</w:t>
            </w:r>
          </w:p>
        </w:tc>
        <w:tc>
          <w:tcPr>
            <w:tcW w:w="1843" w:type="dxa"/>
          </w:tcPr>
          <w:p w14:paraId="42E9001B" w14:textId="198C9760" w:rsidR="003B3B8D" w:rsidRDefault="003B3B8D" w:rsidP="00DD1273">
            <w:pPr>
              <w:jc w:val="center"/>
            </w:pPr>
            <w:r>
              <w:t>6%</w:t>
            </w:r>
          </w:p>
        </w:tc>
      </w:tr>
      <w:tr w:rsidR="003B3B8D" w14:paraId="5ED5CCE5" w14:textId="77777777" w:rsidTr="00DD1273">
        <w:trPr>
          <w:jc w:val="center"/>
        </w:trPr>
        <w:tc>
          <w:tcPr>
            <w:tcW w:w="2943" w:type="dxa"/>
            <w:shd w:val="clear" w:color="auto" w:fill="F2F2F2" w:themeFill="background1" w:themeFillShade="F2"/>
          </w:tcPr>
          <w:p w14:paraId="0248CB2F" w14:textId="16A5FF40" w:rsidR="003B3B8D" w:rsidRDefault="003B3B8D" w:rsidP="000A2812">
            <w:r>
              <w:t xml:space="preserve">France </w:t>
            </w:r>
          </w:p>
        </w:tc>
        <w:tc>
          <w:tcPr>
            <w:tcW w:w="1843" w:type="dxa"/>
            <w:shd w:val="clear" w:color="auto" w:fill="F2F2F2" w:themeFill="background1" w:themeFillShade="F2"/>
          </w:tcPr>
          <w:p w14:paraId="3DA7863E" w14:textId="113B09F1" w:rsidR="003B3B8D" w:rsidRDefault="00D45BEC" w:rsidP="00DD1273">
            <w:pPr>
              <w:jc w:val="center"/>
            </w:pPr>
            <w:r>
              <w:t>5,5%</w:t>
            </w:r>
          </w:p>
        </w:tc>
      </w:tr>
      <w:tr w:rsidR="00D45BEC" w14:paraId="0B655B8B" w14:textId="77777777" w:rsidTr="00DD1273">
        <w:trPr>
          <w:jc w:val="center"/>
        </w:trPr>
        <w:tc>
          <w:tcPr>
            <w:tcW w:w="2943" w:type="dxa"/>
          </w:tcPr>
          <w:p w14:paraId="0D729981" w14:textId="4414E52D" w:rsidR="00D45BEC" w:rsidRDefault="00D45BEC" w:rsidP="000A2812">
            <w:r>
              <w:t xml:space="preserve">Chypre, </w:t>
            </w:r>
            <w:r w:rsidR="00DD1273">
              <w:t xml:space="preserve">Croatie, </w:t>
            </w:r>
            <w:r>
              <w:t>Hongrie, Italie, Lettonie, Lituanie, Malte, Pologne, Roumanie</w:t>
            </w:r>
            <w:r w:rsidR="00DD1273">
              <w:t>, Slovénie</w:t>
            </w:r>
          </w:p>
        </w:tc>
        <w:tc>
          <w:tcPr>
            <w:tcW w:w="1843" w:type="dxa"/>
          </w:tcPr>
          <w:p w14:paraId="0077B4F2" w14:textId="20F91EB8" w:rsidR="00D45BEC" w:rsidRDefault="00D45BEC" w:rsidP="00DD1273">
            <w:pPr>
              <w:jc w:val="center"/>
            </w:pPr>
            <w:r>
              <w:t>5%</w:t>
            </w:r>
          </w:p>
        </w:tc>
      </w:tr>
      <w:tr w:rsidR="00D45BEC" w14:paraId="277DFA09" w14:textId="77777777" w:rsidTr="00DD1273">
        <w:trPr>
          <w:jc w:val="center"/>
        </w:trPr>
        <w:tc>
          <w:tcPr>
            <w:tcW w:w="2943" w:type="dxa"/>
            <w:shd w:val="clear" w:color="auto" w:fill="F2F2F2" w:themeFill="background1" w:themeFillShade="F2"/>
          </w:tcPr>
          <w:p w14:paraId="75F4C221" w14:textId="53F84C67" w:rsidR="00D45BEC" w:rsidRDefault="00D45BEC" w:rsidP="000A2812"/>
        </w:tc>
        <w:tc>
          <w:tcPr>
            <w:tcW w:w="1843" w:type="dxa"/>
            <w:shd w:val="clear" w:color="auto" w:fill="F2F2F2" w:themeFill="background1" w:themeFillShade="F2"/>
          </w:tcPr>
          <w:p w14:paraId="49C862AA" w14:textId="76FFF21D" w:rsidR="00D45BEC" w:rsidRDefault="00D45BEC" w:rsidP="00DD1273">
            <w:pPr>
              <w:jc w:val="center"/>
            </w:pPr>
          </w:p>
        </w:tc>
      </w:tr>
    </w:tbl>
    <w:p w14:paraId="7FD20BB4" w14:textId="77777777" w:rsidR="003B3B8D" w:rsidRDefault="003B3B8D" w:rsidP="000A2812"/>
    <w:p w14:paraId="73A51910" w14:textId="221E4F39" w:rsidR="000A2812" w:rsidRPr="00583F39" w:rsidRDefault="000A2812" w:rsidP="000A2812">
      <w:pPr>
        <w:rPr>
          <w:rFonts w:cs="Times New Roman (Corps CS)"/>
        </w:rPr>
      </w:pPr>
      <w:r w:rsidRPr="00583F39">
        <w:rPr>
          <w:rFonts w:cs="Times New Roman (Corps CS)"/>
        </w:rPr>
        <w:t>10% Autriche, Finlande et République Tchèque.</w:t>
      </w:r>
    </w:p>
    <w:p w14:paraId="1FBF6AAF" w14:textId="77777777" w:rsidR="000A2812" w:rsidRPr="00583F39" w:rsidRDefault="000A2812" w:rsidP="000A2812">
      <w:pPr>
        <w:rPr>
          <w:rFonts w:cs="Times New Roman (Corps CS)"/>
        </w:rPr>
      </w:pPr>
      <w:r w:rsidRPr="00583F39">
        <w:rPr>
          <w:rFonts w:cs="Times New Roman (Corps CS)"/>
        </w:rPr>
        <w:t>9% Irlande.</w:t>
      </w:r>
    </w:p>
    <w:p w14:paraId="409BE05E" w14:textId="4E1E7543" w:rsidR="000A2812" w:rsidRPr="00583F39" w:rsidRDefault="000A2812" w:rsidP="000A2812">
      <w:pPr>
        <w:rPr>
          <w:rFonts w:cs="Times New Roman (Corps CS)"/>
        </w:rPr>
      </w:pPr>
      <w:r w:rsidRPr="00583F39">
        <w:rPr>
          <w:rFonts w:cs="Times New Roman (Corps CS)"/>
        </w:rPr>
        <w:t>6% Belgique, Grèce, Portugal, Suède.</w:t>
      </w:r>
    </w:p>
    <w:p w14:paraId="603BA579" w14:textId="64B247CB" w:rsidR="000A2812" w:rsidRPr="00583F39" w:rsidRDefault="000A2812" w:rsidP="000A2812">
      <w:pPr>
        <w:rPr>
          <w:rFonts w:cs="Times New Roman (Corps CS)"/>
        </w:rPr>
      </w:pPr>
      <w:r w:rsidRPr="00583F39">
        <w:rPr>
          <w:rFonts w:cs="Times New Roman (Corps CS)"/>
        </w:rPr>
        <w:t>5,5% France.</w:t>
      </w:r>
    </w:p>
    <w:p w14:paraId="6B47ECDE" w14:textId="6C9ABCF5" w:rsidR="000A2812" w:rsidRPr="00583F39" w:rsidRDefault="000A2812" w:rsidP="000A2812">
      <w:pPr>
        <w:rPr>
          <w:rFonts w:cs="Times New Roman (Corps CS)"/>
        </w:rPr>
      </w:pPr>
      <w:r w:rsidRPr="00583F39">
        <w:rPr>
          <w:rFonts w:cs="Times New Roman (Corps CS)"/>
        </w:rPr>
        <w:t xml:space="preserve">5% Chypre, </w:t>
      </w:r>
      <w:r w:rsidR="00DD1273">
        <w:rPr>
          <w:rFonts w:cs="Times New Roman (Corps CS)"/>
        </w:rPr>
        <w:t xml:space="preserve">Croatie, </w:t>
      </w:r>
      <w:r w:rsidRPr="00583F39">
        <w:rPr>
          <w:rFonts w:cs="Times New Roman (Corps CS)"/>
        </w:rPr>
        <w:t>Hongrie, Italie, Lettonie, Lituanie, Malte, Pologne, Roumanie</w:t>
      </w:r>
      <w:r w:rsidR="00DD1273">
        <w:rPr>
          <w:rFonts w:cs="Times New Roman (Corps CS)"/>
        </w:rPr>
        <w:t xml:space="preserve"> et Slovénie</w:t>
      </w:r>
      <w:r w:rsidR="00A918D3">
        <w:rPr>
          <w:rFonts w:cs="Times New Roman (Corps CS)"/>
        </w:rPr>
        <w:t xml:space="preserve"> </w:t>
      </w:r>
      <w:r w:rsidRPr="00583F39">
        <w:rPr>
          <w:rFonts w:cs="Times New Roman (Corps CS)"/>
        </w:rPr>
        <w:t xml:space="preserve">(au total </w:t>
      </w:r>
      <w:r w:rsidR="00DD1273">
        <w:rPr>
          <w:rFonts w:cs="Times New Roman (Corps CS)"/>
        </w:rPr>
        <w:t>10</w:t>
      </w:r>
      <w:r w:rsidRPr="00583F39">
        <w:rPr>
          <w:rFonts w:cs="Times New Roman (Corps CS)"/>
        </w:rPr>
        <w:t xml:space="preserve"> États, c’est le groupe le + nombreux). </w:t>
      </w:r>
    </w:p>
    <w:p w14:paraId="4156FFA7" w14:textId="7E1A34E4" w:rsidR="000A2812" w:rsidRDefault="000A2812" w:rsidP="00D45BEC">
      <w:pPr>
        <w:pStyle w:val="Remarque"/>
      </w:pPr>
      <w:r>
        <w:t xml:space="preserve">Il faut savoir que </w:t>
      </w:r>
      <w:r w:rsidR="00A918D3">
        <w:t>2</w:t>
      </w:r>
      <w:r>
        <w:t xml:space="preserve"> États appliquent une TVA à 0% pour les produits de base : l’Irlande et Malte</w:t>
      </w:r>
      <w:r w:rsidR="00D45BEC">
        <w:t>, car</w:t>
      </w:r>
      <w:r>
        <w:t xml:space="preserve"> ce taux existait avant le marché unique.</w:t>
      </w:r>
      <w:r w:rsidR="00A918D3">
        <w:t xml:space="preserve"> Le Royaume-Uni appliquait une TVA à 0% mais depuis le Brexit elle ne fait plus partie de l’Union Européenne. </w:t>
      </w:r>
    </w:p>
    <w:p w14:paraId="153CCE7B" w14:textId="26791D53" w:rsidR="000A2812" w:rsidRDefault="000A2812" w:rsidP="000A2812"/>
    <w:p w14:paraId="0F66C62F" w14:textId="544D602A" w:rsidR="000A2812" w:rsidRDefault="000A2812" w:rsidP="000A2812">
      <w:pPr>
        <w:pStyle w:val="Titre4"/>
      </w:pPr>
      <w:r>
        <w:t xml:space="preserve">3. Le taux super-réduit </w:t>
      </w:r>
    </w:p>
    <w:p w14:paraId="376EFFB4" w14:textId="77777777" w:rsidR="000A2812" w:rsidRDefault="000A2812" w:rsidP="000A2812"/>
    <w:p w14:paraId="0BB906FA" w14:textId="457C9A40" w:rsidR="000A2812" w:rsidRDefault="000A2812" w:rsidP="000A2812">
      <w:r>
        <w:t xml:space="preserve">L’administration l’appelle aussi </w:t>
      </w:r>
      <w:r w:rsidRPr="00D45BEC">
        <w:rPr>
          <w:b/>
          <w:bCs/>
          <w:color w:val="832C6B"/>
        </w:rPr>
        <w:t>le taux particulier</w:t>
      </w:r>
      <w:r>
        <w:t xml:space="preserve">. </w:t>
      </w:r>
    </w:p>
    <w:p w14:paraId="3AB7CD31" w14:textId="7963070A" w:rsidR="000A2812" w:rsidRPr="00583F39" w:rsidRDefault="000A2812" w:rsidP="000A2812">
      <w:pPr>
        <w:rPr>
          <w:rFonts w:cs="Times New Roman (Corps CS)"/>
        </w:rPr>
      </w:pPr>
      <w:r w:rsidRPr="00583F39">
        <w:rPr>
          <w:rFonts w:cs="Times New Roman (Corps CS)"/>
        </w:rPr>
        <w:t>Seuls 5 pays ont un taux super-réduit</w:t>
      </w:r>
      <w:r w:rsidR="00D45BEC" w:rsidRPr="00583F39">
        <w:rPr>
          <w:rFonts w:cs="Times New Roman (Corps CS)"/>
        </w:rPr>
        <w:t> :</w:t>
      </w:r>
      <w:r w:rsidRPr="00583F39">
        <w:rPr>
          <w:rFonts w:cs="Times New Roman (Corps CS)"/>
        </w:rPr>
        <w:t xml:space="preserve"> dont la France, il s’agit dans l’ordre décroissant de l’Irlande (4,8%), L’Espagne et l’Italie (4%), le Luxembourg (3%) et la France (2,1%). </w:t>
      </w:r>
      <w:r w:rsidR="002D4DDA">
        <w:rPr>
          <w:rFonts w:cs="Times New Roman (Corps CS)"/>
        </w:rPr>
        <w:t>Ces taux ne peuvent concerner que 7 catégories de biens et services visés à l’annexe 3 de la directive européenne.</w:t>
      </w:r>
    </w:p>
    <w:tbl>
      <w:tblPr>
        <w:tblStyle w:val="Grilledutableau"/>
        <w:tblW w:w="0" w:type="auto"/>
        <w:jc w:val="center"/>
        <w:tblLook w:val="04A0" w:firstRow="1" w:lastRow="0" w:firstColumn="1" w:lastColumn="0" w:noHBand="0" w:noVBand="1"/>
      </w:tblPr>
      <w:tblGrid>
        <w:gridCol w:w="2802"/>
        <w:gridCol w:w="2126"/>
      </w:tblGrid>
      <w:tr w:rsidR="00D45BEC" w14:paraId="73B4D5A3" w14:textId="77777777" w:rsidTr="00DD1273">
        <w:trPr>
          <w:jc w:val="center"/>
        </w:trPr>
        <w:tc>
          <w:tcPr>
            <w:tcW w:w="2802" w:type="dxa"/>
          </w:tcPr>
          <w:p w14:paraId="59FEA725" w14:textId="4A5EE76A" w:rsidR="00D45BEC" w:rsidRDefault="00D45BEC" w:rsidP="000A2812">
            <w:r>
              <w:t xml:space="preserve">Pays </w:t>
            </w:r>
          </w:p>
        </w:tc>
        <w:tc>
          <w:tcPr>
            <w:tcW w:w="2126" w:type="dxa"/>
          </w:tcPr>
          <w:p w14:paraId="195F2FAE" w14:textId="65706ECD" w:rsidR="00D45BEC" w:rsidRDefault="00D45BEC" w:rsidP="00DD1273">
            <w:pPr>
              <w:jc w:val="center"/>
            </w:pPr>
            <w:r>
              <w:t>Taux super-réduit</w:t>
            </w:r>
          </w:p>
        </w:tc>
      </w:tr>
      <w:tr w:rsidR="00D45BEC" w14:paraId="5CBE1129" w14:textId="77777777" w:rsidTr="00DD1273">
        <w:trPr>
          <w:jc w:val="center"/>
        </w:trPr>
        <w:tc>
          <w:tcPr>
            <w:tcW w:w="2802" w:type="dxa"/>
          </w:tcPr>
          <w:p w14:paraId="7B74CD97" w14:textId="4E3532FE" w:rsidR="00D45BEC" w:rsidRDefault="00D45BEC" w:rsidP="000A2812">
            <w:r>
              <w:t xml:space="preserve">Irlande </w:t>
            </w:r>
          </w:p>
        </w:tc>
        <w:tc>
          <w:tcPr>
            <w:tcW w:w="2126" w:type="dxa"/>
          </w:tcPr>
          <w:p w14:paraId="4B0011F7" w14:textId="524F668A" w:rsidR="00D45BEC" w:rsidRDefault="00D45BEC" w:rsidP="00DD1273">
            <w:pPr>
              <w:jc w:val="center"/>
            </w:pPr>
            <w:r>
              <w:t>4,8%</w:t>
            </w:r>
          </w:p>
        </w:tc>
      </w:tr>
      <w:tr w:rsidR="00D45BEC" w14:paraId="4EB7124C" w14:textId="77777777" w:rsidTr="00DD1273">
        <w:trPr>
          <w:jc w:val="center"/>
        </w:trPr>
        <w:tc>
          <w:tcPr>
            <w:tcW w:w="2802" w:type="dxa"/>
          </w:tcPr>
          <w:p w14:paraId="02A54956" w14:textId="17954474" w:rsidR="00D45BEC" w:rsidRDefault="00D45BEC" w:rsidP="000A2812">
            <w:r>
              <w:t>Espagne, Italie</w:t>
            </w:r>
          </w:p>
        </w:tc>
        <w:tc>
          <w:tcPr>
            <w:tcW w:w="2126" w:type="dxa"/>
          </w:tcPr>
          <w:p w14:paraId="19FB09E3" w14:textId="61AD2C04" w:rsidR="00D45BEC" w:rsidRDefault="00D45BEC" w:rsidP="00DD1273">
            <w:pPr>
              <w:jc w:val="center"/>
            </w:pPr>
            <w:r>
              <w:t>4%</w:t>
            </w:r>
          </w:p>
        </w:tc>
      </w:tr>
      <w:tr w:rsidR="00D45BEC" w14:paraId="0665BA88" w14:textId="77777777" w:rsidTr="00DD1273">
        <w:trPr>
          <w:jc w:val="center"/>
        </w:trPr>
        <w:tc>
          <w:tcPr>
            <w:tcW w:w="2802" w:type="dxa"/>
          </w:tcPr>
          <w:p w14:paraId="6045CD5E" w14:textId="5E499E67" w:rsidR="00D45BEC" w:rsidRDefault="00D45BEC" w:rsidP="000A2812">
            <w:r>
              <w:t>Luxembourg</w:t>
            </w:r>
          </w:p>
        </w:tc>
        <w:tc>
          <w:tcPr>
            <w:tcW w:w="2126" w:type="dxa"/>
          </w:tcPr>
          <w:p w14:paraId="70E46E3B" w14:textId="6DA5C61E" w:rsidR="00D45BEC" w:rsidRDefault="00D45BEC" w:rsidP="00DD1273">
            <w:pPr>
              <w:jc w:val="center"/>
            </w:pPr>
            <w:r>
              <w:t>3%</w:t>
            </w:r>
          </w:p>
        </w:tc>
      </w:tr>
      <w:tr w:rsidR="00D45BEC" w14:paraId="5726B414" w14:textId="77777777" w:rsidTr="00DD1273">
        <w:trPr>
          <w:jc w:val="center"/>
        </w:trPr>
        <w:tc>
          <w:tcPr>
            <w:tcW w:w="2802" w:type="dxa"/>
          </w:tcPr>
          <w:p w14:paraId="07B1B8DE" w14:textId="464DF9A9" w:rsidR="00D45BEC" w:rsidRDefault="00D45BEC" w:rsidP="000A2812">
            <w:r>
              <w:t>France</w:t>
            </w:r>
          </w:p>
        </w:tc>
        <w:tc>
          <w:tcPr>
            <w:tcW w:w="2126" w:type="dxa"/>
          </w:tcPr>
          <w:p w14:paraId="480DDEBC" w14:textId="39DEDFDC" w:rsidR="00D45BEC" w:rsidRDefault="00D45BEC" w:rsidP="00DD1273">
            <w:pPr>
              <w:jc w:val="center"/>
            </w:pPr>
            <w:r>
              <w:t>2,1%</w:t>
            </w:r>
          </w:p>
        </w:tc>
      </w:tr>
    </w:tbl>
    <w:p w14:paraId="3282EA41" w14:textId="77777777" w:rsidR="00D45BEC" w:rsidRDefault="00D45BEC" w:rsidP="000A2812"/>
    <w:p w14:paraId="2D81A8BF" w14:textId="11FF8E21" w:rsidR="000A2812" w:rsidRDefault="000A2812" w:rsidP="00DD1273">
      <w:pPr>
        <w:jc w:val="both"/>
      </w:pPr>
      <w:r>
        <w:t xml:space="preserve">Ce sont des </w:t>
      </w:r>
      <w:r w:rsidRPr="00D45BEC">
        <w:rPr>
          <w:b/>
          <w:bCs/>
          <w:color w:val="832C6B"/>
        </w:rPr>
        <w:t>taux dérogatoires</w:t>
      </w:r>
      <w:r>
        <w:t xml:space="preserve"> qui ne portent que sur des assiettes spécifiques. Ces assiettes spécifiques sont super-réduites. On retiendra que les taux super-réduits portent sur des assiettes super-réduites car ce sont des assiettes </w:t>
      </w:r>
      <w:r>
        <w:lastRenderedPageBreak/>
        <w:t>ne comportant que très peu de biens et services ce qui fait que l’incidence financière est tout à fait négligeable pour les finances publiques. Ces taux super-réduits devaient être provisoires mais on les a laissé perdurer car ils permettent de favoriser certains produits qui sont ainsi très peu taxés. Ce taux super-réduit existait en Europe avant le 1</w:t>
      </w:r>
      <w:r w:rsidRPr="00893E4E">
        <w:rPr>
          <w:vertAlign w:val="superscript"/>
        </w:rPr>
        <w:t>er</w:t>
      </w:r>
      <w:r>
        <w:t xml:space="preserve"> janvier 1991</w:t>
      </w:r>
      <w:r w:rsidR="00583F39">
        <w:t>.</w:t>
      </w:r>
    </w:p>
    <w:p w14:paraId="7907AE10" w14:textId="2402D219" w:rsidR="000A2812" w:rsidRDefault="000A2812" w:rsidP="000A2812"/>
    <w:p w14:paraId="3A9DD5ED" w14:textId="52C6FBF0" w:rsidR="000A2812" w:rsidRDefault="000A2812" w:rsidP="000A2812">
      <w:pPr>
        <w:pStyle w:val="Titre4"/>
      </w:pPr>
      <w:r>
        <w:t>4. Le taux parking</w:t>
      </w:r>
    </w:p>
    <w:p w14:paraId="36BBFB75" w14:textId="64AA861A" w:rsidR="000A2812" w:rsidRDefault="000A2812" w:rsidP="000A2812"/>
    <w:p w14:paraId="7E817FF8" w14:textId="2287482E" w:rsidR="00A44963" w:rsidRDefault="000A2812" w:rsidP="000A2812">
      <w:r>
        <w:t>Les États membre de l’UE qui appliquaient un taux réduit de TVA avant le 1</w:t>
      </w:r>
      <w:r w:rsidRPr="006D4112">
        <w:rPr>
          <w:vertAlign w:val="superscript"/>
        </w:rPr>
        <w:t>er</w:t>
      </w:r>
      <w:r>
        <w:t xml:space="preserve"> janvier 1991 à des produits qui ne figuraient pas à l’annexe III de la Directive communautaire ont été autorisés à appliquer </w:t>
      </w:r>
      <w:r w:rsidRPr="00A44963">
        <w:rPr>
          <w:b/>
          <w:bCs/>
          <w:color w:val="832C6B"/>
        </w:rPr>
        <w:t>à titre provisoire</w:t>
      </w:r>
      <w:r>
        <w:t xml:space="preserve"> un taux parking qui ne peut être inférieur à 12% afin de leur permettre de s’acheminer plus facilement vers le taux normal. </w:t>
      </w:r>
      <w:r w:rsidR="007D78A5">
        <w:t>Ces taux parking devaient évoluer vers une suppression mais ils sont conservés par commodités. De plus, ils concernent des produits de faible importance. Attention : le taux parking n’est pas le taux de TVA applicable aux parcs de stationnement payants ? Le taux qui leur applicable est le taux normal.</w:t>
      </w:r>
    </w:p>
    <w:p w14:paraId="1C3FA254" w14:textId="34C9837E" w:rsidR="00A44963" w:rsidRDefault="000A2812" w:rsidP="000A2812">
      <w:r>
        <w:t>Ainsi, seuls 5 pays appliquent un taux parking au lieu d’appliquer leur taux normal</w:t>
      </w:r>
      <w:r w:rsidR="00B66B05">
        <w:t xml:space="preserve"> pour certains biens et services</w:t>
      </w:r>
      <w:r>
        <w:t xml:space="preserve">. </w:t>
      </w:r>
    </w:p>
    <w:p w14:paraId="25BE375D" w14:textId="7337678D" w:rsidR="00A44963" w:rsidRDefault="00A44963" w:rsidP="00A44963">
      <w:pPr>
        <w:pStyle w:val="Exemple"/>
      </w:pPr>
      <w:r>
        <w:t xml:space="preserve">Par </w:t>
      </w:r>
      <w:r w:rsidRPr="00A44963">
        <w:t>exemple</w:t>
      </w:r>
      <w:r>
        <w:t xml:space="preserve"> : </w:t>
      </w:r>
    </w:p>
    <w:tbl>
      <w:tblPr>
        <w:tblStyle w:val="Grilledutableau"/>
        <w:tblW w:w="0" w:type="auto"/>
        <w:tblLook w:val="04A0" w:firstRow="1" w:lastRow="0" w:firstColumn="1" w:lastColumn="0" w:noHBand="0" w:noVBand="1"/>
      </w:tblPr>
      <w:tblGrid>
        <w:gridCol w:w="3071"/>
        <w:gridCol w:w="3071"/>
        <w:gridCol w:w="3071"/>
      </w:tblGrid>
      <w:tr w:rsidR="00A44963" w14:paraId="56310FA2" w14:textId="77777777" w:rsidTr="0033751A">
        <w:tc>
          <w:tcPr>
            <w:tcW w:w="3071" w:type="dxa"/>
            <w:shd w:val="clear" w:color="auto" w:fill="F2F2F2" w:themeFill="background1" w:themeFillShade="F2"/>
          </w:tcPr>
          <w:p w14:paraId="3F62EC64" w14:textId="1AB733D1" w:rsidR="00A44963" w:rsidRDefault="00A44963" w:rsidP="000A2812">
            <w:r>
              <w:t>Pays</w:t>
            </w:r>
          </w:p>
        </w:tc>
        <w:tc>
          <w:tcPr>
            <w:tcW w:w="3071" w:type="dxa"/>
            <w:shd w:val="clear" w:color="auto" w:fill="F2F2F2" w:themeFill="background1" w:themeFillShade="F2"/>
          </w:tcPr>
          <w:p w14:paraId="5113922B" w14:textId="76824077" w:rsidR="00A44963" w:rsidRDefault="00A44963" w:rsidP="0050574A">
            <w:pPr>
              <w:jc w:val="center"/>
            </w:pPr>
            <w:r>
              <w:t>Taux parking</w:t>
            </w:r>
          </w:p>
        </w:tc>
        <w:tc>
          <w:tcPr>
            <w:tcW w:w="3071" w:type="dxa"/>
            <w:shd w:val="clear" w:color="auto" w:fill="F2F2F2" w:themeFill="background1" w:themeFillShade="F2"/>
          </w:tcPr>
          <w:p w14:paraId="76DB4D4A" w14:textId="0848771E" w:rsidR="00A44963" w:rsidRDefault="00A44963" w:rsidP="0050574A">
            <w:pPr>
              <w:jc w:val="center"/>
            </w:pPr>
            <w:r>
              <w:t>Taux normal</w:t>
            </w:r>
          </w:p>
        </w:tc>
      </w:tr>
      <w:tr w:rsidR="00A44963" w14:paraId="35228EA6" w14:textId="77777777" w:rsidTr="00A44963">
        <w:tc>
          <w:tcPr>
            <w:tcW w:w="3071" w:type="dxa"/>
          </w:tcPr>
          <w:p w14:paraId="3331AE84" w14:textId="6DF16BED" w:rsidR="00A44963" w:rsidRDefault="00A44963" w:rsidP="000A2812">
            <w:r>
              <w:t>Luxembourg</w:t>
            </w:r>
          </w:p>
        </w:tc>
        <w:tc>
          <w:tcPr>
            <w:tcW w:w="3071" w:type="dxa"/>
          </w:tcPr>
          <w:p w14:paraId="1400D0AD" w14:textId="20DD7CE4" w:rsidR="00A44963" w:rsidRDefault="00A44963" w:rsidP="0050574A">
            <w:pPr>
              <w:jc w:val="center"/>
            </w:pPr>
            <w:r>
              <w:t>1</w:t>
            </w:r>
            <w:r w:rsidR="00B66B05">
              <w:t>3</w:t>
            </w:r>
            <w:r>
              <w:t>%</w:t>
            </w:r>
          </w:p>
        </w:tc>
        <w:tc>
          <w:tcPr>
            <w:tcW w:w="3071" w:type="dxa"/>
          </w:tcPr>
          <w:p w14:paraId="7E5244B3" w14:textId="4A8A17A3" w:rsidR="00A44963" w:rsidRDefault="00A44963" w:rsidP="0050574A">
            <w:pPr>
              <w:jc w:val="center"/>
            </w:pPr>
            <w:r>
              <w:t>1</w:t>
            </w:r>
            <w:r w:rsidR="00CD4B40">
              <w:t>6</w:t>
            </w:r>
            <w:r>
              <w:t>%</w:t>
            </w:r>
          </w:p>
        </w:tc>
      </w:tr>
      <w:tr w:rsidR="00A44963" w14:paraId="09995CCE" w14:textId="77777777" w:rsidTr="0033751A">
        <w:tc>
          <w:tcPr>
            <w:tcW w:w="3071" w:type="dxa"/>
            <w:shd w:val="clear" w:color="auto" w:fill="F2F2F2" w:themeFill="background1" w:themeFillShade="F2"/>
          </w:tcPr>
          <w:p w14:paraId="09C74775" w14:textId="7C8A1DE0" w:rsidR="00A44963" w:rsidRDefault="00A44963" w:rsidP="000A2812">
            <w:r>
              <w:t>Irlande</w:t>
            </w:r>
          </w:p>
        </w:tc>
        <w:tc>
          <w:tcPr>
            <w:tcW w:w="3071" w:type="dxa"/>
            <w:shd w:val="clear" w:color="auto" w:fill="F2F2F2" w:themeFill="background1" w:themeFillShade="F2"/>
          </w:tcPr>
          <w:p w14:paraId="3D0CFC1E" w14:textId="23BA1ACD" w:rsidR="00A44963" w:rsidRDefault="00A44963" w:rsidP="0050574A">
            <w:pPr>
              <w:jc w:val="center"/>
            </w:pPr>
            <w:r>
              <w:t>13,5%</w:t>
            </w:r>
          </w:p>
        </w:tc>
        <w:tc>
          <w:tcPr>
            <w:tcW w:w="3071" w:type="dxa"/>
            <w:shd w:val="clear" w:color="auto" w:fill="F2F2F2" w:themeFill="background1" w:themeFillShade="F2"/>
          </w:tcPr>
          <w:p w14:paraId="3630CF9C" w14:textId="28EE0B65" w:rsidR="00A44963" w:rsidRDefault="00A44963" w:rsidP="0050574A">
            <w:pPr>
              <w:jc w:val="center"/>
            </w:pPr>
            <w:r>
              <w:t>23%</w:t>
            </w:r>
          </w:p>
        </w:tc>
      </w:tr>
      <w:tr w:rsidR="00A44963" w14:paraId="256AD05D" w14:textId="77777777" w:rsidTr="00A44963">
        <w:tc>
          <w:tcPr>
            <w:tcW w:w="3071" w:type="dxa"/>
          </w:tcPr>
          <w:p w14:paraId="5B8A091A" w14:textId="7EBA33C1" w:rsidR="00A44963" w:rsidRDefault="00A44963" w:rsidP="000A2812">
            <w:r>
              <w:t>Autriche</w:t>
            </w:r>
          </w:p>
        </w:tc>
        <w:tc>
          <w:tcPr>
            <w:tcW w:w="3071" w:type="dxa"/>
          </w:tcPr>
          <w:p w14:paraId="598C021C" w14:textId="3762F4F6" w:rsidR="00A44963" w:rsidRDefault="008929A5" w:rsidP="0050574A">
            <w:pPr>
              <w:jc w:val="center"/>
            </w:pPr>
            <w:r>
              <w:t>13</w:t>
            </w:r>
            <w:r w:rsidR="00A44963">
              <w:t>%</w:t>
            </w:r>
          </w:p>
        </w:tc>
        <w:tc>
          <w:tcPr>
            <w:tcW w:w="3071" w:type="dxa"/>
          </w:tcPr>
          <w:p w14:paraId="6B39D9F1" w14:textId="5F0E6787" w:rsidR="00A44963" w:rsidRDefault="00A44963" w:rsidP="0050574A">
            <w:pPr>
              <w:jc w:val="center"/>
            </w:pPr>
            <w:r>
              <w:t>2</w:t>
            </w:r>
            <w:r w:rsidR="008929A5">
              <w:t>0</w:t>
            </w:r>
            <w:r>
              <w:t>%</w:t>
            </w:r>
          </w:p>
        </w:tc>
      </w:tr>
      <w:tr w:rsidR="00A44963" w14:paraId="228DFEE6" w14:textId="77777777" w:rsidTr="0033751A">
        <w:tc>
          <w:tcPr>
            <w:tcW w:w="3071" w:type="dxa"/>
            <w:shd w:val="clear" w:color="auto" w:fill="F2F2F2" w:themeFill="background1" w:themeFillShade="F2"/>
          </w:tcPr>
          <w:p w14:paraId="0DC84326" w14:textId="243B27F4" w:rsidR="00A44963" w:rsidRDefault="00A44963" w:rsidP="000A2812">
            <w:r>
              <w:t xml:space="preserve">Belgique </w:t>
            </w:r>
          </w:p>
        </w:tc>
        <w:tc>
          <w:tcPr>
            <w:tcW w:w="3071" w:type="dxa"/>
            <w:shd w:val="clear" w:color="auto" w:fill="F2F2F2" w:themeFill="background1" w:themeFillShade="F2"/>
          </w:tcPr>
          <w:p w14:paraId="56C4C798" w14:textId="0D26464E" w:rsidR="00A44963" w:rsidRDefault="00A44963" w:rsidP="0050574A">
            <w:pPr>
              <w:jc w:val="center"/>
            </w:pPr>
            <w:r>
              <w:t>12%</w:t>
            </w:r>
          </w:p>
        </w:tc>
        <w:tc>
          <w:tcPr>
            <w:tcW w:w="3071" w:type="dxa"/>
            <w:shd w:val="clear" w:color="auto" w:fill="F2F2F2" w:themeFill="background1" w:themeFillShade="F2"/>
          </w:tcPr>
          <w:p w14:paraId="5629F44D" w14:textId="3EA93891" w:rsidR="00A44963" w:rsidRDefault="00A44963" w:rsidP="0050574A">
            <w:pPr>
              <w:jc w:val="center"/>
            </w:pPr>
            <w:r>
              <w:t>21%</w:t>
            </w:r>
          </w:p>
        </w:tc>
      </w:tr>
      <w:tr w:rsidR="00704824" w14:paraId="35CC31E9" w14:textId="77777777" w:rsidTr="0033751A">
        <w:tc>
          <w:tcPr>
            <w:tcW w:w="3071" w:type="dxa"/>
            <w:shd w:val="clear" w:color="auto" w:fill="F2F2F2" w:themeFill="background1" w:themeFillShade="F2"/>
          </w:tcPr>
          <w:p w14:paraId="05A7B6C6" w14:textId="35DB5B3B" w:rsidR="00704824" w:rsidRDefault="00704824" w:rsidP="000A2812">
            <w:r>
              <w:t>Portugal</w:t>
            </w:r>
          </w:p>
        </w:tc>
        <w:tc>
          <w:tcPr>
            <w:tcW w:w="3071" w:type="dxa"/>
            <w:shd w:val="clear" w:color="auto" w:fill="F2F2F2" w:themeFill="background1" w:themeFillShade="F2"/>
          </w:tcPr>
          <w:p w14:paraId="0E1B8401" w14:textId="34ECAAF2" w:rsidR="00704824" w:rsidRDefault="00704824" w:rsidP="0050574A">
            <w:pPr>
              <w:jc w:val="center"/>
            </w:pPr>
            <w:r>
              <w:t>13%</w:t>
            </w:r>
          </w:p>
        </w:tc>
        <w:tc>
          <w:tcPr>
            <w:tcW w:w="3071" w:type="dxa"/>
            <w:shd w:val="clear" w:color="auto" w:fill="F2F2F2" w:themeFill="background1" w:themeFillShade="F2"/>
          </w:tcPr>
          <w:p w14:paraId="50A3C512" w14:textId="0F5E1911" w:rsidR="00704824" w:rsidRDefault="00704824" w:rsidP="0050574A">
            <w:pPr>
              <w:jc w:val="center"/>
            </w:pPr>
            <w:r>
              <w:t>23%</w:t>
            </w:r>
          </w:p>
        </w:tc>
      </w:tr>
    </w:tbl>
    <w:p w14:paraId="04A1E2B8" w14:textId="77777777" w:rsidR="00A44963" w:rsidRDefault="00A44963" w:rsidP="000A2812"/>
    <w:p w14:paraId="359644F8" w14:textId="0E8F3F2B" w:rsidR="00A44963" w:rsidRPr="00583F39" w:rsidRDefault="000A2812" w:rsidP="00A44963">
      <w:pPr>
        <w:pStyle w:val="Exemple"/>
        <w:rPr>
          <w:rFonts w:cs="Times New Roman (Corps CS)"/>
        </w:rPr>
      </w:pPr>
      <w:r w:rsidRPr="00583F39">
        <w:rPr>
          <w:rFonts w:cs="Times New Roman (Corps CS)"/>
        </w:rPr>
        <w:t>Par exemple 1</w:t>
      </w:r>
      <w:r w:rsidR="00CD4B40">
        <w:rPr>
          <w:rFonts w:cs="Times New Roman (Corps CS)"/>
        </w:rPr>
        <w:t>3</w:t>
      </w:r>
      <w:r w:rsidRPr="00583F39">
        <w:rPr>
          <w:rFonts w:cs="Times New Roman (Corps CS)"/>
        </w:rPr>
        <w:t>% pour le Luxembourg au lieu de 1</w:t>
      </w:r>
      <w:r w:rsidR="00CD4B40">
        <w:rPr>
          <w:rFonts w:cs="Times New Roman (Corps CS)"/>
        </w:rPr>
        <w:t>6</w:t>
      </w:r>
      <w:r w:rsidRPr="00583F39">
        <w:rPr>
          <w:rFonts w:cs="Times New Roman (Corps CS)"/>
        </w:rPr>
        <w:t>%</w:t>
      </w:r>
      <w:r w:rsidR="00A44963" w:rsidRPr="00583F39">
        <w:rPr>
          <w:rFonts w:cs="Times New Roman (Corps CS)"/>
        </w:rPr>
        <w:t> ;</w:t>
      </w:r>
      <w:r w:rsidRPr="00583F39">
        <w:rPr>
          <w:rFonts w:cs="Times New Roman (Corps CS)"/>
        </w:rPr>
        <w:t xml:space="preserve"> 13,5% pour l’Irlande (au lieu de 23%), 13% pour l’Autriche et le Portugal (au lieu de 20 et 23%) et 12% pour la Belgique (au lieu de 21%). </w:t>
      </w:r>
    </w:p>
    <w:p w14:paraId="0BDFD3FB" w14:textId="2BAE2B6D" w:rsidR="000A2812" w:rsidRDefault="000A2812" w:rsidP="00A44963">
      <w:pPr>
        <w:pStyle w:val="Remarque"/>
      </w:pPr>
      <w:r>
        <w:t xml:space="preserve">Le taux de 12% est le plancher du taux parking </w:t>
      </w:r>
      <w:r w:rsidR="00CD4B40">
        <w:t xml:space="preserve">des Etats membres </w:t>
      </w:r>
      <w:r>
        <w:t xml:space="preserve">qui ne peut être inférieur à cette limite. On retiendra que le taux parking est tout simplement un taux normal exceptionnellement plus bas que la normale. C’est un petit taux normal qui n’est pas un taux intermédiaire. </w:t>
      </w:r>
      <w:r w:rsidR="00CD4B40">
        <w:t>Mais il porte sur une assiette très restreinte.</w:t>
      </w:r>
    </w:p>
    <w:p w14:paraId="75918342" w14:textId="6A656C57" w:rsidR="000A2812" w:rsidRDefault="000A2812" w:rsidP="000A2812"/>
    <w:p w14:paraId="4FFA3F10" w14:textId="38DEBDB4" w:rsidR="000A2812" w:rsidRDefault="000A2812" w:rsidP="000A2812">
      <w:pPr>
        <w:pStyle w:val="Titreensavoirplus"/>
      </w:pPr>
      <w:r>
        <w:t>Informations pratiques intéressantes :</w:t>
      </w:r>
    </w:p>
    <w:p w14:paraId="16904627" w14:textId="0733BA3B" w:rsidR="000A2812" w:rsidRDefault="000A2812" w:rsidP="000A2812">
      <w:pPr>
        <w:pStyle w:val="Ensavoirplus"/>
        <w:numPr>
          <w:ilvl w:val="0"/>
          <w:numId w:val="15"/>
        </w:numPr>
      </w:pPr>
      <w:r>
        <w:t>L</w:t>
      </w:r>
      <w:r w:rsidRPr="000A2812">
        <w:t xml:space="preserve">e taux de TVA en Suisse (hors UE) est de 7,7% ce qui est très attractif. </w:t>
      </w:r>
      <w:r w:rsidR="00A44963">
        <w:br/>
      </w:r>
      <w:r w:rsidRPr="000A2812">
        <w:t xml:space="preserve">Andorre a encore mieux avec </w:t>
      </w:r>
      <w:r w:rsidR="00A44963">
        <w:t xml:space="preserve">un taux de </w:t>
      </w:r>
      <w:r w:rsidRPr="000A2812">
        <w:t xml:space="preserve">4,5%. </w:t>
      </w:r>
    </w:p>
    <w:p w14:paraId="7CE50650" w14:textId="77777777" w:rsidR="008157FC" w:rsidRDefault="000A2812" w:rsidP="000A2812">
      <w:pPr>
        <w:pStyle w:val="Ensavoirplus"/>
        <w:numPr>
          <w:ilvl w:val="0"/>
          <w:numId w:val="15"/>
        </w:numPr>
      </w:pPr>
      <w:r w:rsidRPr="00A44963">
        <w:rPr>
          <w:b/>
          <w:bCs/>
          <w:color w:val="832C6B"/>
        </w:rPr>
        <w:t>La détaxe</w:t>
      </w:r>
      <w:r w:rsidRPr="000A2812">
        <w:t> : Lorsque la TVA est incluse dans le prix d’achat, il est possible de se la faire rembourser à condition qu’il s’agisse des achats de biens et non de services. La détaxe peut ainsi bénéficier aux résidents hors UE qui se font ainsi rembourser la TVA à condition de rapporter les marchandises dans leurs bagages (ce qui est vérifié par les services de la douane). Il peut s’agit de 2 types de personnes :</w:t>
      </w:r>
    </w:p>
    <w:p w14:paraId="1985AFD2" w14:textId="77777777" w:rsidR="008157FC" w:rsidRDefault="000A2812" w:rsidP="008157FC">
      <w:pPr>
        <w:pStyle w:val="Ensavoirplus"/>
        <w:numPr>
          <w:ilvl w:val="0"/>
          <w:numId w:val="16"/>
        </w:numPr>
      </w:pPr>
      <w:r>
        <w:t>R</w:t>
      </w:r>
      <w:r w:rsidRPr="000A2812">
        <w:t>essortissants d’États-tiers dont la résidence est située hors UE.</w:t>
      </w:r>
    </w:p>
    <w:p w14:paraId="172BC4E5" w14:textId="1FF51DD1" w:rsidR="000A2812" w:rsidRDefault="000A2812" w:rsidP="008157FC">
      <w:pPr>
        <w:pStyle w:val="Ensavoirplus"/>
        <w:numPr>
          <w:ilvl w:val="0"/>
          <w:numId w:val="16"/>
        </w:numPr>
      </w:pPr>
      <w:r>
        <w:t xml:space="preserve">Ressortissants </w:t>
      </w:r>
      <w:r w:rsidRPr="000A2812">
        <w:t xml:space="preserve">d’États membres de l’UE résidant hors UE à condition d’établir cette résidence hors UE par un permis de séjour ou un certificat administratif du consulat. Un site explique tout cela, le site : </w:t>
      </w:r>
      <w:hyperlink r:id="rId43" w:history="1">
        <w:r w:rsidRPr="000A2812">
          <w:rPr>
            <w:rStyle w:val="Lienhypertexte"/>
          </w:rPr>
          <w:t>www.zapptax.com</w:t>
        </w:r>
      </w:hyperlink>
      <w:r w:rsidRPr="000A2812">
        <w:t xml:space="preserve"> </w:t>
      </w:r>
    </w:p>
    <w:p w14:paraId="542081C6" w14:textId="052D317A" w:rsidR="000A2812" w:rsidRPr="000A2812" w:rsidRDefault="000A2812" w:rsidP="000A2812">
      <w:pPr>
        <w:pStyle w:val="Ensavoirplus"/>
        <w:numPr>
          <w:ilvl w:val="0"/>
          <w:numId w:val="15"/>
        </w:numPr>
      </w:pPr>
      <w:r>
        <w:t>L</w:t>
      </w:r>
      <w:r w:rsidRPr="000A2812">
        <w:t xml:space="preserve">e conseil a décidé que le système définitif applicable à la TVA intracommunautaire s’appliquerait au 1er janvier 2022. En attendant, les États membres de l’UE </w:t>
      </w:r>
      <w:r w:rsidRPr="00A44963">
        <w:rPr>
          <w:b/>
          <w:bCs/>
          <w:color w:val="832C6B"/>
        </w:rPr>
        <w:t xml:space="preserve">ne peuvent pas refuser d’accorder le bénéfice de </w:t>
      </w:r>
      <w:r w:rsidRPr="00A44963">
        <w:rPr>
          <w:b/>
          <w:bCs/>
          <w:color w:val="832C6B"/>
        </w:rPr>
        <w:lastRenderedPageBreak/>
        <w:t>l’exonération de TVA</w:t>
      </w:r>
      <w:r w:rsidRPr="000A2812">
        <w:t xml:space="preserve"> applicable aux livraisons intracommunautaires au seul motif que le fournisseur n’a pas transmis son numéro de TVA de l’acquéreur. </w:t>
      </w:r>
    </w:p>
    <w:p w14:paraId="7CE78209" w14:textId="38B6DD69" w:rsidR="000A2812" w:rsidRDefault="000A2812" w:rsidP="000A2812"/>
    <w:p w14:paraId="5A58E1FB" w14:textId="5ECEC405" w:rsidR="008157FC" w:rsidRDefault="008157FC" w:rsidP="008157FC">
      <w:pPr>
        <w:pStyle w:val="Titre2"/>
      </w:pPr>
      <w:r>
        <w:t>§2. Le</w:t>
      </w:r>
      <w:r w:rsidR="00CC05D8">
        <w:t>s</w:t>
      </w:r>
      <w:r>
        <w:t xml:space="preserve"> taux de TVA en France</w:t>
      </w:r>
    </w:p>
    <w:p w14:paraId="2AE26BB6" w14:textId="6A42E65D" w:rsidR="008157FC" w:rsidRDefault="008157FC" w:rsidP="000A2812"/>
    <w:p w14:paraId="238C7BE4" w14:textId="1BDE76EF" w:rsidR="00CB152A" w:rsidRDefault="00CB152A" w:rsidP="000A2812">
      <w:r>
        <w:t>Comme vu précédemment</w:t>
      </w:r>
      <w:r w:rsidR="001E25AD">
        <w:t xml:space="preserve">, le système français de TVA compte </w:t>
      </w:r>
      <w:r w:rsidR="0050574A">
        <w:t>quatre</w:t>
      </w:r>
      <w:r w:rsidR="001E25AD">
        <w:t xml:space="preserve"> taux : le taux normal (fixé à 20%), le taux intermédiaire (à 10%)</w:t>
      </w:r>
      <w:r w:rsidR="0050574A">
        <w:t>, le taux réduit de 5,5%</w:t>
      </w:r>
      <w:r w:rsidR="001E25AD">
        <w:t xml:space="preserve"> et enfin le taux super-réduit fixé à</w:t>
      </w:r>
      <w:r w:rsidR="0050574A">
        <w:t xml:space="preserve"> 2,1</w:t>
      </w:r>
      <w:r w:rsidR="001E25AD">
        <w:t xml:space="preserve">%. </w:t>
      </w:r>
    </w:p>
    <w:p w14:paraId="45633B79" w14:textId="512CF989" w:rsidR="008157FC" w:rsidRDefault="008157FC" w:rsidP="008157FC">
      <w:pPr>
        <w:pStyle w:val="Titre3"/>
      </w:pPr>
      <w:r>
        <w:t xml:space="preserve">A. Le taux majoré </w:t>
      </w:r>
    </w:p>
    <w:p w14:paraId="456DE2AC" w14:textId="1AC4A213" w:rsidR="008157FC" w:rsidRDefault="008157FC" w:rsidP="000A2812">
      <w:r>
        <w:t xml:space="preserve">(Ce taux n’existe plus depuis 1982). </w:t>
      </w:r>
    </w:p>
    <w:p w14:paraId="303EB4D0" w14:textId="4F311835" w:rsidR="008157FC" w:rsidRDefault="008157FC" w:rsidP="008157FC">
      <w:pPr>
        <w:rPr>
          <w:lang w:eastAsia="fr-FR"/>
        </w:rPr>
      </w:pPr>
      <w:r w:rsidRPr="006C6535">
        <w:rPr>
          <w:shd w:val="clear" w:color="auto" w:fill="FFFFFF"/>
          <w:lang w:eastAsia="fr-FR"/>
        </w:rPr>
        <w:t>Lorsqu’il était en vigueur, le </w:t>
      </w:r>
      <w:r w:rsidRPr="006C6535">
        <w:rPr>
          <w:b/>
          <w:bCs/>
          <w:bdr w:val="none" w:sz="0" w:space="0" w:color="auto" w:frame="1"/>
          <w:shd w:val="clear" w:color="auto" w:fill="FFFFFF"/>
          <w:lang w:eastAsia="fr-FR"/>
        </w:rPr>
        <w:t>taux majoré</w:t>
      </w:r>
      <w:r w:rsidRPr="006C6535">
        <w:rPr>
          <w:shd w:val="clear" w:color="auto" w:fill="FFFFFF"/>
          <w:lang w:eastAsia="fr-FR"/>
        </w:rPr>
        <w:t xml:space="preserve"> s’appliquait aux opérations réalisées par les </w:t>
      </w:r>
      <w:r w:rsidRPr="00A44963">
        <w:rPr>
          <w:b/>
          <w:bCs/>
          <w:color w:val="832C6B"/>
          <w:shd w:val="clear" w:color="auto" w:fill="FFFFFF"/>
          <w:lang w:eastAsia="fr-FR"/>
        </w:rPr>
        <w:t>instituts de beauté ou salons de beauté</w:t>
      </w:r>
      <w:r w:rsidRPr="006C6535">
        <w:rPr>
          <w:shd w:val="clear" w:color="auto" w:fill="FFFFFF"/>
          <w:lang w:eastAsia="fr-FR"/>
        </w:rPr>
        <w:t xml:space="preserve">, les </w:t>
      </w:r>
      <w:r w:rsidRPr="00A44963">
        <w:rPr>
          <w:b/>
          <w:bCs/>
          <w:color w:val="832C6B"/>
          <w:shd w:val="clear" w:color="auto" w:fill="FFFFFF"/>
          <w:lang w:eastAsia="fr-FR"/>
        </w:rPr>
        <w:t>entrées pour des films ou pièces de théâtre à caractère pornographique ou d’incitation à la violence</w:t>
      </w:r>
      <w:r w:rsidRPr="006C6535">
        <w:rPr>
          <w:shd w:val="clear" w:color="auto" w:fill="FFFFFF"/>
          <w:lang w:eastAsia="fr-FR"/>
        </w:rPr>
        <w:t xml:space="preserve">, </w:t>
      </w:r>
      <w:r w:rsidRPr="00A44963">
        <w:rPr>
          <w:b/>
          <w:bCs/>
          <w:color w:val="832C6B"/>
          <w:shd w:val="clear" w:color="auto" w:fill="FFFFFF"/>
          <w:lang w:eastAsia="fr-FR"/>
        </w:rPr>
        <w:t>certains produits de luxe</w:t>
      </w:r>
      <w:r w:rsidRPr="006C6535">
        <w:rPr>
          <w:shd w:val="clear" w:color="auto" w:fill="FFFFFF"/>
          <w:lang w:eastAsia="fr-FR"/>
        </w:rPr>
        <w:t xml:space="preserve"> (caviar, les parfums, perles et bijoux précieux) et la </w:t>
      </w:r>
      <w:r w:rsidRPr="00A44963">
        <w:rPr>
          <w:b/>
          <w:bCs/>
          <w:color w:val="832C6B"/>
          <w:shd w:val="clear" w:color="auto" w:fill="FFFFFF"/>
          <w:lang w:eastAsia="fr-FR"/>
        </w:rPr>
        <w:t>location de cassettes vidéo</w:t>
      </w:r>
      <w:r w:rsidRPr="006C6535">
        <w:rPr>
          <w:shd w:val="clear" w:color="auto" w:fill="FFFFFF"/>
          <w:lang w:eastAsia="fr-FR"/>
        </w:rPr>
        <w:t xml:space="preserve">. Le taux majoré de TVA </w:t>
      </w:r>
      <w:r w:rsidR="00A44963">
        <w:rPr>
          <w:shd w:val="clear" w:color="auto" w:fill="FFFFFF"/>
          <w:lang w:eastAsia="fr-FR"/>
        </w:rPr>
        <w:t xml:space="preserve">a </w:t>
      </w:r>
      <w:r w:rsidR="00A44963" w:rsidRPr="006C6535">
        <w:rPr>
          <w:shd w:val="clear" w:color="auto" w:fill="FFFFFF"/>
          <w:lang w:eastAsia="fr-FR"/>
        </w:rPr>
        <w:t>disparu</w:t>
      </w:r>
      <w:r w:rsidRPr="006C6535">
        <w:rPr>
          <w:shd w:val="clear" w:color="auto" w:fill="FFFFFF"/>
          <w:lang w:eastAsia="fr-FR"/>
        </w:rPr>
        <w:t xml:space="preserve"> avec le traité de Maastricht et l’harmonisation des TVA au sein de la </w:t>
      </w:r>
      <w:r w:rsidRPr="00A44963">
        <w:rPr>
          <w:b/>
          <w:bCs/>
          <w:color w:val="832C6B"/>
          <w:shd w:val="clear" w:color="auto" w:fill="FFFFFF"/>
          <w:lang w:eastAsia="fr-FR"/>
        </w:rPr>
        <w:t>Communauté européenne en 1992</w:t>
      </w:r>
      <w:r w:rsidRPr="006C6535">
        <w:rPr>
          <w:shd w:val="clear" w:color="auto" w:fill="FFFFFF"/>
          <w:lang w:eastAsia="fr-FR"/>
        </w:rPr>
        <w:t>.</w:t>
      </w:r>
    </w:p>
    <w:p w14:paraId="5AD90ED7" w14:textId="04E578F8" w:rsidR="00A44963" w:rsidRPr="00B20ADD" w:rsidRDefault="008157FC" w:rsidP="00B20ADD">
      <w:pPr>
        <w:jc w:val="center"/>
        <w:rPr>
          <w:b/>
          <w:bCs/>
        </w:rPr>
      </w:pPr>
      <w:r w:rsidRPr="00B20ADD">
        <w:rPr>
          <w:b/>
          <w:bCs/>
        </w:rPr>
        <w:t>Le taux majoré a évolué entre 1968 et 1992 :</w:t>
      </w:r>
    </w:p>
    <w:tbl>
      <w:tblPr>
        <w:tblStyle w:val="Grilledutableau"/>
        <w:tblpPr w:leftFromText="141" w:rightFromText="141" w:vertAnchor="text" w:horzAnchor="margin" w:tblpXSpec="center" w:tblpY="134"/>
        <w:tblW w:w="0" w:type="auto"/>
        <w:tblLook w:val="04A0" w:firstRow="1" w:lastRow="0" w:firstColumn="1" w:lastColumn="0" w:noHBand="0" w:noVBand="1"/>
      </w:tblPr>
      <w:tblGrid>
        <w:gridCol w:w="959"/>
        <w:gridCol w:w="1077"/>
      </w:tblGrid>
      <w:tr w:rsidR="00A44963" w14:paraId="4CA5B344" w14:textId="77777777" w:rsidTr="00A44963">
        <w:tc>
          <w:tcPr>
            <w:tcW w:w="959" w:type="dxa"/>
            <w:shd w:val="clear" w:color="auto" w:fill="F2F2F2" w:themeFill="background1" w:themeFillShade="F2"/>
          </w:tcPr>
          <w:p w14:paraId="0B3B7FC8" w14:textId="77777777" w:rsidR="00A44963" w:rsidRDefault="00A44963" w:rsidP="00A44963">
            <w:r>
              <w:t xml:space="preserve">Années </w:t>
            </w:r>
          </w:p>
        </w:tc>
        <w:tc>
          <w:tcPr>
            <w:tcW w:w="1077" w:type="dxa"/>
            <w:shd w:val="clear" w:color="auto" w:fill="F2F2F2" w:themeFill="background1" w:themeFillShade="F2"/>
          </w:tcPr>
          <w:p w14:paraId="04A1C240" w14:textId="77777777" w:rsidR="00A44963" w:rsidRDefault="00A44963" w:rsidP="0050574A">
            <w:pPr>
              <w:jc w:val="center"/>
            </w:pPr>
            <w:r>
              <w:t>Taux</w:t>
            </w:r>
          </w:p>
        </w:tc>
      </w:tr>
      <w:tr w:rsidR="00A44963" w14:paraId="33F463FD" w14:textId="77777777" w:rsidTr="00A44963">
        <w:tc>
          <w:tcPr>
            <w:tcW w:w="959" w:type="dxa"/>
          </w:tcPr>
          <w:p w14:paraId="0BDB2361" w14:textId="77777777" w:rsidR="00A44963" w:rsidRDefault="00A44963" w:rsidP="00A44963">
            <w:r>
              <w:t>1968</w:t>
            </w:r>
          </w:p>
        </w:tc>
        <w:tc>
          <w:tcPr>
            <w:tcW w:w="1077" w:type="dxa"/>
          </w:tcPr>
          <w:p w14:paraId="70E8F463" w14:textId="77777777" w:rsidR="00A44963" w:rsidRDefault="00A44963" w:rsidP="0050574A">
            <w:pPr>
              <w:jc w:val="center"/>
            </w:pPr>
            <w:r>
              <w:t>20%</w:t>
            </w:r>
          </w:p>
        </w:tc>
      </w:tr>
      <w:tr w:rsidR="00A44963" w14:paraId="2CDFE450" w14:textId="77777777" w:rsidTr="00A44963">
        <w:tc>
          <w:tcPr>
            <w:tcW w:w="959" w:type="dxa"/>
            <w:shd w:val="clear" w:color="auto" w:fill="F2F2F2" w:themeFill="background1" w:themeFillShade="F2"/>
          </w:tcPr>
          <w:p w14:paraId="41ACBBA6" w14:textId="77777777" w:rsidR="00A44963" w:rsidRDefault="00A44963" w:rsidP="00A44963">
            <w:r>
              <w:t>1969</w:t>
            </w:r>
          </w:p>
        </w:tc>
        <w:tc>
          <w:tcPr>
            <w:tcW w:w="1077" w:type="dxa"/>
            <w:shd w:val="clear" w:color="auto" w:fill="F2F2F2" w:themeFill="background1" w:themeFillShade="F2"/>
          </w:tcPr>
          <w:p w14:paraId="1AA7A7DF" w14:textId="77777777" w:rsidR="00A44963" w:rsidRDefault="00A44963" w:rsidP="0050574A">
            <w:pPr>
              <w:jc w:val="center"/>
            </w:pPr>
            <w:r>
              <w:t>25%</w:t>
            </w:r>
          </w:p>
        </w:tc>
      </w:tr>
      <w:tr w:rsidR="00A44963" w14:paraId="16B4FBA3" w14:textId="77777777" w:rsidTr="00A44963">
        <w:tc>
          <w:tcPr>
            <w:tcW w:w="959" w:type="dxa"/>
          </w:tcPr>
          <w:p w14:paraId="2446A3C9" w14:textId="77777777" w:rsidR="00A44963" w:rsidRDefault="00A44963" w:rsidP="00A44963">
            <w:r>
              <w:t>1970</w:t>
            </w:r>
          </w:p>
        </w:tc>
        <w:tc>
          <w:tcPr>
            <w:tcW w:w="1077" w:type="dxa"/>
          </w:tcPr>
          <w:p w14:paraId="45061DE0" w14:textId="77777777" w:rsidR="00A44963" w:rsidRDefault="00A44963" w:rsidP="0050574A">
            <w:pPr>
              <w:jc w:val="center"/>
            </w:pPr>
            <w:r>
              <w:t>33,33%</w:t>
            </w:r>
          </w:p>
        </w:tc>
      </w:tr>
      <w:tr w:rsidR="00A44963" w14:paraId="4A58FCBF" w14:textId="77777777" w:rsidTr="00A44963">
        <w:tc>
          <w:tcPr>
            <w:tcW w:w="959" w:type="dxa"/>
            <w:shd w:val="clear" w:color="auto" w:fill="F2F2F2" w:themeFill="background1" w:themeFillShade="F2"/>
          </w:tcPr>
          <w:p w14:paraId="382646DA" w14:textId="77777777" w:rsidR="00A44963" w:rsidRDefault="00A44963" w:rsidP="00A44963">
            <w:r>
              <w:t>1988</w:t>
            </w:r>
          </w:p>
        </w:tc>
        <w:tc>
          <w:tcPr>
            <w:tcW w:w="1077" w:type="dxa"/>
            <w:shd w:val="clear" w:color="auto" w:fill="F2F2F2" w:themeFill="background1" w:themeFillShade="F2"/>
          </w:tcPr>
          <w:p w14:paraId="2F78DA3C" w14:textId="77777777" w:rsidR="00A44963" w:rsidRDefault="00A44963" w:rsidP="0050574A">
            <w:pPr>
              <w:jc w:val="center"/>
            </w:pPr>
            <w:r>
              <w:t>28%</w:t>
            </w:r>
          </w:p>
        </w:tc>
      </w:tr>
      <w:tr w:rsidR="00A44963" w14:paraId="3784E0E9" w14:textId="77777777" w:rsidTr="00A44963">
        <w:tc>
          <w:tcPr>
            <w:tcW w:w="959" w:type="dxa"/>
          </w:tcPr>
          <w:p w14:paraId="52E51A21" w14:textId="77777777" w:rsidR="00A44963" w:rsidRDefault="00A44963" w:rsidP="00A44963">
            <w:r>
              <w:t>1989</w:t>
            </w:r>
          </w:p>
        </w:tc>
        <w:tc>
          <w:tcPr>
            <w:tcW w:w="1077" w:type="dxa"/>
          </w:tcPr>
          <w:p w14:paraId="3A284FA9" w14:textId="77777777" w:rsidR="00A44963" w:rsidRDefault="00A44963" w:rsidP="0050574A">
            <w:pPr>
              <w:jc w:val="center"/>
            </w:pPr>
            <w:r>
              <w:t>25%</w:t>
            </w:r>
          </w:p>
        </w:tc>
      </w:tr>
      <w:tr w:rsidR="0050574A" w14:paraId="662352EA" w14:textId="77777777" w:rsidTr="00A44963">
        <w:tc>
          <w:tcPr>
            <w:tcW w:w="959" w:type="dxa"/>
          </w:tcPr>
          <w:p w14:paraId="7A5F13A0" w14:textId="0C915D35" w:rsidR="0050574A" w:rsidRDefault="0050574A" w:rsidP="00A44963">
            <w:r>
              <w:t>1990</w:t>
            </w:r>
          </w:p>
        </w:tc>
        <w:tc>
          <w:tcPr>
            <w:tcW w:w="1077" w:type="dxa"/>
          </w:tcPr>
          <w:p w14:paraId="2C80D976" w14:textId="4A114AB2" w:rsidR="0050574A" w:rsidRDefault="0050574A" w:rsidP="0050574A">
            <w:pPr>
              <w:jc w:val="center"/>
            </w:pPr>
            <w:r>
              <w:t>22%</w:t>
            </w:r>
          </w:p>
        </w:tc>
      </w:tr>
      <w:tr w:rsidR="00A44963" w14:paraId="7A174EBE" w14:textId="77777777" w:rsidTr="00A44963">
        <w:tc>
          <w:tcPr>
            <w:tcW w:w="959" w:type="dxa"/>
            <w:shd w:val="clear" w:color="auto" w:fill="F2F2F2" w:themeFill="background1" w:themeFillShade="F2"/>
          </w:tcPr>
          <w:p w14:paraId="7FB50E4D" w14:textId="77777777" w:rsidR="00A44963" w:rsidRDefault="00A44963" w:rsidP="00A44963">
            <w:r>
              <w:t>1992</w:t>
            </w:r>
          </w:p>
        </w:tc>
        <w:tc>
          <w:tcPr>
            <w:tcW w:w="1077" w:type="dxa"/>
            <w:shd w:val="clear" w:color="auto" w:fill="F2F2F2" w:themeFill="background1" w:themeFillShade="F2"/>
          </w:tcPr>
          <w:p w14:paraId="5FF2A0FF" w14:textId="77777777" w:rsidR="00A44963" w:rsidRDefault="00A44963" w:rsidP="0050574A">
            <w:pPr>
              <w:jc w:val="center"/>
            </w:pPr>
            <w:r>
              <w:t>Supprimé</w:t>
            </w:r>
          </w:p>
        </w:tc>
      </w:tr>
    </w:tbl>
    <w:p w14:paraId="79DF0CA0" w14:textId="26E93DD3" w:rsidR="008157FC" w:rsidRDefault="008157FC" w:rsidP="008157FC"/>
    <w:p w14:paraId="5CF58FE2" w14:textId="539DAED6" w:rsidR="00A44963" w:rsidRDefault="00A44963" w:rsidP="008157FC"/>
    <w:p w14:paraId="63492A7F" w14:textId="31C12A7A" w:rsidR="00A44963" w:rsidRDefault="00A44963" w:rsidP="008157FC"/>
    <w:p w14:paraId="5A8747E9" w14:textId="77777777" w:rsidR="00A44963" w:rsidRDefault="00A44963" w:rsidP="008157FC"/>
    <w:p w14:paraId="256FC942" w14:textId="77777777" w:rsidR="00A44963" w:rsidRDefault="00A44963" w:rsidP="008157FC"/>
    <w:p w14:paraId="46611216" w14:textId="7A4F9BE4" w:rsidR="008157FC" w:rsidRDefault="008157FC" w:rsidP="008157FC">
      <w:pPr>
        <w:pStyle w:val="Titre3"/>
      </w:pPr>
      <w:r>
        <w:t>B. Le taux normal</w:t>
      </w:r>
    </w:p>
    <w:p w14:paraId="5B1C70E3" w14:textId="2D920EE9" w:rsidR="008157FC" w:rsidRDefault="008157FC" w:rsidP="008157FC"/>
    <w:p w14:paraId="5752D46A" w14:textId="6161882B" w:rsidR="008157FC" w:rsidRDefault="008157FC" w:rsidP="008157FC">
      <w:pPr>
        <w:pStyle w:val="Titre4"/>
      </w:pPr>
      <w:r>
        <w:t xml:space="preserve">1. La fixation du taux normal à 20% </w:t>
      </w:r>
    </w:p>
    <w:p w14:paraId="5F85EF7E" w14:textId="75B1B28F" w:rsidR="008157FC" w:rsidRDefault="008157FC" w:rsidP="008157FC"/>
    <w:p w14:paraId="4A6BE9E0" w14:textId="5F76C3D0" w:rsidR="00A44963" w:rsidRDefault="00CB152A" w:rsidP="008157FC">
      <w:r>
        <w:t>Le taux normal, appelé aussi taux de droit commun,</w:t>
      </w:r>
      <w:r w:rsidR="008157FC">
        <w:t xml:space="preserve"> </w:t>
      </w:r>
      <w:r>
        <w:t xml:space="preserve">est </w:t>
      </w:r>
      <w:r w:rsidR="00A44963">
        <w:t xml:space="preserve">fixé à 20% </w:t>
      </w:r>
      <w:r>
        <w:t>et</w:t>
      </w:r>
      <w:r w:rsidR="008157FC">
        <w:t xml:space="preserve"> défini à </w:t>
      </w:r>
      <w:hyperlink r:id="rId44" w:history="1">
        <w:r w:rsidR="008157FC" w:rsidRPr="00A44963">
          <w:rPr>
            <w:rStyle w:val="Lienhypertexte"/>
          </w:rPr>
          <w:t>l’article 278 du CGI</w:t>
        </w:r>
      </w:hyperlink>
      <w:r w:rsidR="008157FC">
        <w:t xml:space="preserve">. </w:t>
      </w:r>
    </w:p>
    <w:p w14:paraId="2EFCD80E" w14:textId="5B847E13" w:rsidR="00A44963" w:rsidRPr="00B20ADD" w:rsidRDefault="008157FC" w:rsidP="00B20ADD">
      <w:pPr>
        <w:jc w:val="center"/>
        <w:rPr>
          <w:b/>
          <w:bCs/>
        </w:rPr>
      </w:pPr>
      <w:r w:rsidRPr="00B20ADD">
        <w:rPr>
          <w:b/>
          <w:bCs/>
        </w:rPr>
        <w:t xml:space="preserve">Le taux </w:t>
      </w:r>
      <w:r w:rsidR="00B20ADD">
        <w:rPr>
          <w:b/>
          <w:bCs/>
        </w:rPr>
        <w:t xml:space="preserve">normal </w:t>
      </w:r>
      <w:r w:rsidRPr="00B20ADD">
        <w:rPr>
          <w:b/>
          <w:bCs/>
        </w:rPr>
        <w:t>a évolué</w:t>
      </w:r>
      <w:r w:rsidR="00A44963" w:rsidRPr="00B20ADD">
        <w:rPr>
          <w:b/>
          <w:bCs/>
        </w:rPr>
        <w:t xml:space="preserve"> au fil des années :</w:t>
      </w:r>
    </w:p>
    <w:tbl>
      <w:tblPr>
        <w:tblStyle w:val="Grilledutableau"/>
        <w:tblW w:w="0" w:type="auto"/>
        <w:jc w:val="center"/>
        <w:tblLook w:val="04A0" w:firstRow="1" w:lastRow="0" w:firstColumn="1" w:lastColumn="0" w:noHBand="0" w:noVBand="1"/>
      </w:tblPr>
      <w:tblGrid>
        <w:gridCol w:w="1526"/>
        <w:gridCol w:w="2977"/>
      </w:tblGrid>
      <w:tr w:rsidR="00A44963" w14:paraId="6C23A517" w14:textId="77777777" w:rsidTr="00B20ADD">
        <w:trPr>
          <w:jc w:val="center"/>
        </w:trPr>
        <w:tc>
          <w:tcPr>
            <w:tcW w:w="1526" w:type="dxa"/>
            <w:shd w:val="clear" w:color="auto" w:fill="F2F2F2" w:themeFill="background1" w:themeFillShade="F2"/>
          </w:tcPr>
          <w:p w14:paraId="30744179" w14:textId="0E97F48B" w:rsidR="00A44963" w:rsidRDefault="00A44963" w:rsidP="008157FC">
            <w:r>
              <w:t>Années</w:t>
            </w:r>
          </w:p>
        </w:tc>
        <w:tc>
          <w:tcPr>
            <w:tcW w:w="2977" w:type="dxa"/>
            <w:shd w:val="clear" w:color="auto" w:fill="F2F2F2" w:themeFill="background1" w:themeFillShade="F2"/>
          </w:tcPr>
          <w:p w14:paraId="77009366" w14:textId="5563DE2C" w:rsidR="00A44963" w:rsidRDefault="00A44963" w:rsidP="00B20ADD">
            <w:pPr>
              <w:jc w:val="center"/>
            </w:pPr>
            <w:r>
              <w:t>Taux</w:t>
            </w:r>
          </w:p>
        </w:tc>
      </w:tr>
      <w:tr w:rsidR="00A44963" w14:paraId="241E4255" w14:textId="77777777" w:rsidTr="00B20ADD">
        <w:trPr>
          <w:jc w:val="center"/>
        </w:trPr>
        <w:tc>
          <w:tcPr>
            <w:tcW w:w="1526" w:type="dxa"/>
          </w:tcPr>
          <w:p w14:paraId="2E815912" w14:textId="7D3F6A73" w:rsidR="00A44963" w:rsidRDefault="00A44963" w:rsidP="008157FC">
            <w:r>
              <w:t>1954</w:t>
            </w:r>
          </w:p>
        </w:tc>
        <w:tc>
          <w:tcPr>
            <w:tcW w:w="2977" w:type="dxa"/>
          </w:tcPr>
          <w:p w14:paraId="3342C8CD" w14:textId="75309520" w:rsidR="00A44963" w:rsidRDefault="00A44963" w:rsidP="00B20ADD">
            <w:pPr>
              <w:jc w:val="center"/>
            </w:pPr>
            <w:r>
              <w:t xml:space="preserve">16,85 ou 17,60 selon </w:t>
            </w:r>
            <w:r w:rsidR="00CB152A">
              <w:t>l’Huma</w:t>
            </w:r>
          </w:p>
        </w:tc>
      </w:tr>
      <w:tr w:rsidR="00A44963" w14:paraId="592864DC" w14:textId="77777777" w:rsidTr="00B20ADD">
        <w:trPr>
          <w:jc w:val="center"/>
        </w:trPr>
        <w:tc>
          <w:tcPr>
            <w:tcW w:w="1526" w:type="dxa"/>
            <w:shd w:val="clear" w:color="auto" w:fill="F2F2F2" w:themeFill="background1" w:themeFillShade="F2"/>
          </w:tcPr>
          <w:p w14:paraId="37E372E6" w14:textId="0CABE738" w:rsidR="00A44963" w:rsidRDefault="00CB152A" w:rsidP="008157FC">
            <w:r>
              <w:t>1968</w:t>
            </w:r>
          </w:p>
        </w:tc>
        <w:tc>
          <w:tcPr>
            <w:tcW w:w="2977" w:type="dxa"/>
            <w:shd w:val="clear" w:color="auto" w:fill="F2F2F2" w:themeFill="background1" w:themeFillShade="F2"/>
          </w:tcPr>
          <w:p w14:paraId="2BBBA7FD" w14:textId="07DFEED5" w:rsidR="00A44963" w:rsidRDefault="00CB152A" w:rsidP="00B20ADD">
            <w:pPr>
              <w:jc w:val="center"/>
            </w:pPr>
            <w:r>
              <w:t>16,66%</w:t>
            </w:r>
          </w:p>
        </w:tc>
      </w:tr>
      <w:tr w:rsidR="00A44963" w14:paraId="3F640AA9" w14:textId="77777777" w:rsidTr="00B20ADD">
        <w:trPr>
          <w:jc w:val="center"/>
        </w:trPr>
        <w:tc>
          <w:tcPr>
            <w:tcW w:w="1526" w:type="dxa"/>
          </w:tcPr>
          <w:p w14:paraId="7DB21E7D" w14:textId="35479C44" w:rsidR="00A44963" w:rsidRDefault="00CB152A" w:rsidP="008157FC">
            <w:r>
              <w:t>1969</w:t>
            </w:r>
          </w:p>
        </w:tc>
        <w:tc>
          <w:tcPr>
            <w:tcW w:w="2977" w:type="dxa"/>
          </w:tcPr>
          <w:p w14:paraId="3548A80F" w14:textId="5E58721F" w:rsidR="00A44963" w:rsidRDefault="00CB152A" w:rsidP="00B20ADD">
            <w:pPr>
              <w:jc w:val="center"/>
            </w:pPr>
            <w:r>
              <w:t>19%</w:t>
            </w:r>
          </w:p>
        </w:tc>
      </w:tr>
      <w:tr w:rsidR="00A44963" w14:paraId="511B14E2" w14:textId="77777777" w:rsidTr="00B20ADD">
        <w:trPr>
          <w:jc w:val="center"/>
        </w:trPr>
        <w:tc>
          <w:tcPr>
            <w:tcW w:w="1526" w:type="dxa"/>
            <w:shd w:val="clear" w:color="auto" w:fill="F2F2F2" w:themeFill="background1" w:themeFillShade="F2"/>
          </w:tcPr>
          <w:p w14:paraId="7BF9CC9C" w14:textId="61052512" w:rsidR="00A44963" w:rsidRDefault="00CB152A" w:rsidP="008157FC">
            <w:r>
              <w:t xml:space="preserve">1970 </w:t>
            </w:r>
          </w:p>
        </w:tc>
        <w:tc>
          <w:tcPr>
            <w:tcW w:w="2977" w:type="dxa"/>
            <w:shd w:val="clear" w:color="auto" w:fill="F2F2F2" w:themeFill="background1" w:themeFillShade="F2"/>
          </w:tcPr>
          <w:p w14:paraId="392B66FF" w14:textId="021F0068" w:rsidR="00A44963" w:rsidRDefault="00CB152A" w:rsidP="00B20ADD">
            <w:pPr>
              <w:jc w:val="center"/>
            </w:pPr>
            <w:r>
              <w:t>23%</w:t>
            </w:r>
          </w:p>
        </w:tc>
      </w:tr>
      <w:tr w:rsidR="00A44963" w14:paraId="4BEA0A07" w14:textId="77777777" w:rsidTr="00B20ADD">
        <w:trPr>
          <w:jc w:val="center"/>
        </w:trPr>
        <w:tc>
          <w:tcPr>
            <w:tcW w:w="1526" w:type="dxa"/>
          </w:tcPr>
          <w:p w14:paraId="16FD108C" w14:textId="30627F7E" w:rsidR="00A44963" w:rsidRDefault="00CB152A" w:rsidP="008157FC">
            <w:r>
              <w:t xml:space="preserve">1972 </w:t>
            </w:r>
          </w:p>
        </w:tc>
        <w:tc>
          <w:tcPr>
            <w:tcW w:w="2977" w:type="dxa"/>
          </w:tcPr>
          <w:p w14:paraId="05709AA9" w14:textId="7A5F53E5" w:rsidR="00A44963" w:rsidRDefault="00CB152A" w:rsidP="00B20ADD">
            <w:pPr>
              <w:jc w:val="center"/>
            </w:pPr>
            <w:r>
              <w:t>20%</w:t>
            </w:r>
          </w:p>
        </w:tc>
      </w:tr>
      <w:tr w:rsidR="00A44963" w14:paraId="233E0E8B" w14:textId="77777777" w:rsidTr="00B20ADD">
        <w:trPr>
          <w:jc w:val="center"/>
        </w:trPr>
        <w:tc>
          <w:tcPr>
            <w:tcW w:w="1526" w:type="dxa"/>
            <w:shd w:val="clear" w:color="auto" w:fill="F2F2F2" w:themeFill="background1" w:themeFillShade="F2"/>
          </w:tcPr>
          <w:p w14:paraId="6C8F9711" w14:textId="474FD29D" w:rsidR="00A44963" w:rsidRDefault="00CB152A" w:rsidP="008157FC">
            <w:r>
              <w:t>1977</w:t>
            </w:r>
          </w:p>
        </w:tc>
        <w:tc>
          <w:tcPr>
            <w:tcW w:w="2977" w:type="dxa"/>
            <w:shd w:val="clear" w:color="auto" w:fill="F2F2F2" w:themeFill="background1" w:themeFillShade="F2"/>
          </w:tcPr>
          <w:p w14:paraId="5BA34FED" w14:textId="53E35E45" w:rsidR="00A44963" w:rsidRDefault="00CB152A" w:rsidP="00B20ADD">
            <w:pPr>
              <w:jc w:val="center"/>
            </w:pPr>
            <w:r>
              <w:t>17,6%</w:t>
            </w:r>
          </w:p>
        </w:tc>
      </w:tr>
      <w:tr w:rsidR="00A44963" w14:paraId="4FE509CC" w14:textId="77777777" w:rsidTr="00B20ADD">
        <w:trPr>
          <w:jc w:val="center"/>
        </w:trPr>
        <w:tc>
          <w:tcPr>
            <w:tcW w:w="1526" w:type="dxa"/>
          </w:tcPr>
          <w:p w14:paraId="1EC09D00" w14:textId="2C7ABB13" w:rsidR="00A44963" w:rsidRDefault="00CB152A" w:rsidP="008157FC">
            <w:r>
              <w:t>1982</w:t>
            </w:r>
          </w:p>
        </w:tc>
        <w:tc>
          <w:tcPr>
            <w:tcW w:w="2977" w:type="dxa"/>
          </w:tcPr>
          <w:p w14:paraId="5E53CCCF" w14:textId="3622684A" w:rsidR="00A44963" w:rsidRDefault="00CB152A" w:rsidP="00B20ADD">
            <w:pPr>
              <w:jc w:val="center"/>
            </w:pPr>
            <w:r>
              <w:t>18,6%</w:t>
            </w:r>
          </w:p>
        </w:tc>
      </w:tr>
      <w:tr w:rsidR="00CB152A" w14:paraId="2816A4D2" w14:textId="77777777" w:rsidTr="00B20ADD">
        <w:trPr>
          <w:jc w:val="center"/>
        </w:trPr>
        <w:tc>
          <w:tcPr>
            <w:tcW w:w="1526" w:type="dxa"/>
            <w:shd w:val="clear" w:color="auto" w:fill="F2F2F2" w:themeFill="background1" w:themeFillShade="F2"/>
          </w:tcPr>
          <w:p w14:paraId="0A570E86" w14:textId="4F9F779C" w:rsidR="00CB152A" w:rsidRDefault="00CB152A" w:rsidP="008157FC">
            <w:r>
              <w:t>1995</w:t>
            </w:r>
          </w:p>
        </w:tc>
        <w:tc>
          <w:tcPr>
            <w:tcW w:w="2977" w:type="dxa"/>
            <w:shd w:val="clear" w:color="auto" w:fill="F2F2F2" w:themeFill="background1" w:themeFillShade="F2"/>
          </w:tcPr>
          <w:p w14:paraId="48D4D5B0" w14:textId="7CE8178C" w:rsidR="00CB152A" w:rsidRDefault="00CB152A" w:rsidP="00B20ADD">
            <w:pPr>
              <w:jc w:val="center"/>
            </w:pPr>
            <w:r>
              <w:t>20,6%</w:t>
            </w:r>
          </w:p>
        </w:tc>
      </w:tr>
      <w:tr w:rsidR="00CB152A" w14:paraId="2E8BA271" w14:textId="77777777" w:rsidTr="00B20ADD">
        <w:trPr>
          <w:jc w:val="center"/>
        </w:trPr>
        <w:tc>
          <w:tcPr>
            <w:tcW w:w="1526" w:type="dxa"/>
          </w:tcPr>
          <w:p w14:paraId="59B39C3F" w14:textId="1121D6F1" w:rsidR="00CB152A" w:rsidRDefault="00CB152A" w:rsidP="008157FC">
            <w:r>
              <w:t>2000</w:t>
            </w:r>
          </w:p>
        </w:tc>
        <w:tc>
          <w:tcPr>
            <w:tcW w:w="2977" w:type="dxa"/>
          </w:tcPr>
          <w:p w14:paraId="5A7DFE24" w14:textId="464F02A7" w:rsidR="00CB152A" w:rsidRDefault="00CB152A" w:rsidP="00B20ADD">
            <w:pPr>
              <w:jc w:val="center"/>
            </w:pPr>
            <w:r>
              <w:t>19,6%</w:t>
            </w:r>
          </w:p>
        </w:tc>
      </w:tr>
      <w:tr w:rsidR="00CB152A" w14:paraId="036EBAC4" w14:textId="77777777" w:rsidTr="00B20ADD">
        <w:trPr>
          <w:jc w:val="center"/>
        </w:trPr>
        <w:tc>
          <w:tcPr>
            <w:tcW w:w="1526" w:type="dxa"/>
            <w:shd w:val="clear" w:color="auto" w:fill="F2F2F2" w:themeFill="background1" w:themeFillShade="F2"/>
          </w:tcPr>
          <w:p w14:paraId="3E64B402" w14:textId="5FC5653A" w:rsidR="00CB152A" w:rsidRDefault="00CB152A" w:rsidP="008157FC">
            <w:r>
              <w:t>2014</w:t>
            </w:r>
          </w:p>
        </w:tc>
        <w:tc>
          <w:tcPr>
            <w:tcW w:w="2977" w:type="dxa"/>
            <w:shd w:val="clear" w:color="auto" w:fill="F2F2F2" w:themeFill="background1" w:themeFillShade="F2"/>
          </w:tcPr>
          <w:p w14:paraId="385A8360" w14:textId="7B00CF00" w:rsidR="00CB152A" w:rsidRDefault="00CB152A" w:rsidP="00B20ADD">
            <w:pPr>
              <w:jc w:val="center"/>
            </w:pPr>
            <w:r>
              <w:t>20%</w:t>
            </w:r>
          </w:p>
        </w:tc>
      </w:tr>
    </w:tbl>
    <w:p w14:paraId="4384D5F5" w14:textId="69123825" w:rsidR="008157FC" w:rsidRDefault="008157FC" w:rsidP="008157FC">
      <w:r>
        <w:t xml:space="preserve"> </w:t>
      </w:r>
    </w:p>
    <w:p w14:paraId="0BB4AE5E" w14:textId="645DA2EC" w:rsidR="008157FC" w:rsidRDefault="008157FC" w:rsidP="008157FC">
      <w:pPr>
        <w:pStyle w:val="Titre4"/>
      </w:pPr>
      <w:r>
        <w:lastRenderedPageBreak/>
        <w:t xml:space="preserve">2. Un taux de droit commun </w:t>
      </w:r>
    </w:p>
    <w:p w14:paraId="774018D7" w14:textId="7105D987" w:rsidR="008157FC" w:rsidRDefault="008157FC" w:rsidP="008157FC"/>
    <w:p w14:paraId="0876FFC4" w14:textId="712FFF40" w:rsidR="008157FC" w:rsidRDefault="008157FC" w:rsidP="008157FC">
      <w:r>
        <w:t>Il s’applique de manière obligatoire pour tous les biens et services pour lesquels rien n’est prévu de manière explicite</w:t>
      </w:r>
      <w:r w:rsidR="001E25AD">
        <w:t xml:space="preserve">. Il englobe toutes les opérations imposables pour lesquelles un autre taux n’est pas spécialement prévu. </w:t>
      </w:r>
    </w:p>
    <w:p w14:paraId="1F2DDE6A" w14:textId="3DBA39BC" w:rsidR="008157FC" w:rsidRDefault="008157FC" w:rsidP="008157FC"/>
    <w:p w14:paraId="2C45C81A" w14:textId="249F1B2D" w:rsidR="008157FC" w:rsidRDefault="008157FC" w:rsidP="00903B1E">
      <w:pPr>
        <w:pStyle w:val="Titre3"/>
      </w:pPr>
      <w:r>
        <w:t>C. Les autres taux</w:t>
      </w:r>
      <w:r w:rsidR="00903B1E">
        <w:t> </w:t>
      </w:r>
    </w:p>
    <w:p w14:paraId="048A676E" w14:textId="06E246AC" w:rsidR="008157FC" w:rsidRDefault="008157FC" w:rsidP="000A2812"/>
    <w:p w14:paraId="31BDE63D" w14:textId="1674072D" w:rsidR="00903B1E" w:rsidRDefault="00903B1E" w:rsidP="00903B1E">
      <w:pPr>
        <w:pStyle w:val="Titre4"/>
      </w:pPr>
      <w:r>
        <w:t xml:space="preserve">1. Les taux réduits </w:t>
      </w:r>
    </w:p>
    <w:p w14:paraId="6989A03F" w14:textId="1FF1355F" w:rsidR="00903B1E" w:rsidRDefault="00903B1E" w:rsidP="000A2812"/>
    <w:p w14:paraId="03993F3A" w14:textId="2F6DC189" w:rsidR="00903B1E" w:rsidRDefault="00903B1E" w:rsidP="00903B1E">
      <w:pPr>
        <w:pStyle w:val="Titre5"/>
      </w:pPr>
      <w:r>
        <w:t xml:space="preserve">a. Le taux intermédiaire </w:t>
      </w:r>
    </w:p>
    <w:p w14:paraId="20A68175" w14:textId="51664DEE" w:rsidR="00903B1E" w:rsidRDefault="00903B1E" w:rsidP="000A2812"/>
    <w:p w14:paraId="0A08ED8A" w14:textId="77777777" w:rsidR="009D4AAB" w:rsidRDefault="009D4AAB" w:rsidP="000A2812">
      <w:r>
        <w:t>Le taux intermédiaire de 10% s’applique à certains produits ou biens et prestations de services qui sont énumérés limitativement par la loi.</w:t>
      </w:r>
    </w:p>
    <w:p w14:paraId="5CC887B7" w14:textId="7012C500" w:rsidR="009D4AAB" w:rsidRDefault="00A2387B" w:rsidP="000A2812">
      <w:r>
        <w:t>Voici une liste non limitative</w:t>
      </w:r>
      <w:r w:rsidR="009D4AAB">
        <w:t xml:space="preserve"> :  </w:t>
      </w:r>
    </w:p>
    <w:p w14:paraId="44DED934" w14:textId="1759247D" w:rsidR="00903B1E" w:rsidRDefault="00903B1E" w:rsidP="00903B1E">
      <w:pPr>
        <w:pStyle w:val="Exemple"/>
        <w:numPr>
          <w:ilvl w:val="0"/>
          <w:numId w:val="17"/>
        </w:numPr>
      </w:pPr>
      <w:r>
        <w:t>Restauration (</w:t>
      </w:r>
      <w:r w:rsidR="00A2387B">
        <w:t>Vente à consommer sur place</w:t>
      </w:r>
      <w:r>
        <w:t>)</w:t>
      </w:r>
      <w:r w:rsidR="009E5D97">
        <w:t xml:space="preserve"> (</w:t>
      </w:r>
      <w:hyperlink r:id="rId45" w:history="1">
        <w:r w:rsidR="009E5D97">
          <w:rPr>
            <w:rStyle w:val="Lienhypertexte"/>
          </w:rPr>
          <w:t>article 279, m du CGI</w:t>
        </w:r>
      </w:hyperlink>
      <w:r w:rsidR="009E5D97">
        <w:t>).</w:t>
      </w:r>
    </w:p>
    <w:p w14:paraId="372C2111" w14:textId="35738681" w:rsidR="00903B1E" w:rsidRDefault="00903B1E" w:rsidP="00903B1E">
      <w:pPr>
        <w:pStyle w:val="Exemple"/>
        <w:numPr>
          <w:ilvl w:val="0"/>
          <w:numId w:val="17"/>
        </w:numPr>
      </w:pPr>
      <w:r>
        <w:t>Aide à la personn</w:t>
      </w:r>
      <w:r w:rsidR="009E5D97">
        <w:t>e (</w:t>
      </w:r>
      <w:hyperlink r:id="rId46" w:history="1">
        <w:r w:rsidR="009E5D97" w:rsidRPr="009E5D97">
          <w:rPr>
            <w:rStyle w:val="Lienhypertexte"/>
          </w:rPr>
          <w:t>article 279, i du CGI</w:t>
        </w:r>
      </w:hyperlink>
      <w:r w:rsidR="009E5D97">
        <w:t>)</w:t>
      </w:r>
    </w:p>
    <w:p w14:paraId="1EBAB89D" w14:textId="2C4B8842" w:rsidR="00903B1E" w:rsidRDefault="00903B1E" w:rsidP="00903B1E">
      <w:pPr>
        <w:pStyle w:val="Exemple"/>
        <w:numPr>
          <w:ilvl w:val="0"/>
          <w:numId w:val="17"/>
        </w:numPr>
      </w:pPr>
      <w:r>
        <w:t>Hébergement et transport</w:t>
      </w:r>
      <w:r w:rsidR="009E5D97">
        <w:t xml:space="preserve"> (</w:t>
      </w:r>
      <w:hyperlink r:id="rId47" w:history="1">
        <w:r w:rsidR="009E5D97">
          <w:rPr>
            <w:rStyle w:val="Lienhypertexte"/>
          </w:rPr>
          <w:t>article 279, b quater du CGI</w:t>
        </w:r>
      </w:hyperlink>
      <w:r w:rsidR="009E5D97">
        <w:t>).</w:t>
      </w:r>
    </w:p>
    <w:p w14:paraId="32DC51DA" w14:textId="5BFB40F6" w:rsidR="00A2387B" w:rsidRDefault="00A2387B" w:rsidP="00903B1E">
      <w:pPr>
        <w:pStyle w:val="Exemple"/>
        <w:numPr>
          <w:ilvl w:val="0"/>
          <w:numId w:val="17"/>
        </w:numPr>
      </w:pPr>
      <w:r>
        <w:t xml:space="preserve">Commissions, courtages et façons sur produits aux taux intermédiaire. </w:t>
      </w:r>
    </w:p>
    <w:p w14:paraId="63AD0A14" w14:textId="2CCF8EC4" w:rsidR="009E5D97" w:rsidRDefault="00903B1E" w:rsidP="00903B1E">
      <w:pPr>
        <w:pStyle w:val="Exemple"/>
        <w:numPr>
          <w:ilvl w:val="0"/>
          <w:numId w:val="17"/>
        </w:numPr>
      </w:pPr>
      <w:r>
        <w:t>Produits agricoles non transformés</w:t>
      </w:r>
      <w:r w:rsidR="009E5D97">
        <w:t xml:space="preserve"> (</w:t>
      </w:r>
      <w:hyperlink r:id="rId48" w:history="1">
        <w:r w:rsidR="00333641">
          <w:rPr>
            <w:rStyle w:val="Lienhypertexte"/>
          </w:rPr>
          <w:t>article 278 bis, 3°, a du CGI</w:t>
        </w:r>
      </w:hyperlink>
      <w:r w:rsidR="009E5D97">
        <w:t xml:space="preserve">). </w:t>
      </w:r>
    </w:p>
    <w:p w14:paraId="6FA3F6D8" w14:textId="710FE144" w:rsidR="00903B1E" w:rsidRDefault="009E5D97" w:rsidP="00903B1E">
      <w:pPr>
        <w:pStyle w:val="Exemple"/>
        <w:numPr>
          <w:ilvl w:val="0"/>
          <w:numId w:val="17"/>
        </w:numPr>
      </w:pPr>
      <w:r>
        <w:t>B</w:t>
      </w:r>
      <w:r w:rsidR="00903B1E">
        <w:t>ois de chauffage</w:t>
      </w:r>
      <w:r w:rsidR="00082226">
        <w:t xml:space="preserve"> </w:t>
      </w:r>
      <w:r>
        <w:t>(</w:t>
      </w:r>
      <w:hyperlink r:id="rId49" w:history="1">
        <w:r>
          <w:rPr>
            <w:rStyle w:val="Lienhypertexte"/>
          </w:rPr>
          <w:t>article 278 bis, 3° a bis du CGI</w:t>
        </w:r>
      </w:hyperlink>
      <w:r>
        <w:t xml:space="preserve">). </w:t>
      </w:r>
    </w:p>
    <w:p w14:paraId="77C0E169" w14:textId="34A6EE04" w:rsidR="00903B1E" w:rsidRDefault="00903B1E" w:rsidP="00903B1E">
      <w:pPr>
        <w:pStyle w:val="Exemple"/>
        <w:numPr>
          <w:ilvl w:val="0"/>
          <w:numId w:val="17"/>
        </w:numPr>
      </w:pPr>
      <w:r>
        <w:t>Médicaments non remboursés</w:t>
      </w:r>
      <w:r w:rsidR="00A2387B">
        <w:t xml:space="preserve"> (</w:t>
      </w:r>
      <w:hyperlink r:id="rId50" w:history="1">
        <w:r w:rsidR="00A2387B" w:rsidRPr="00A2387B">
          <w:rPr>
            <w:rStyle w:val="Lienhypertexte"/>
          </w:rPr>
          <w:t>article 278 quater du CGI</w:t>
        </w:r>
      </w:hyperlink>
      <w:r w:rsidR="00A2387B">
        <w:t>).</w:t>
      </w:r>
    </w:p>
    <w:p w14:paraId="4AABBE9C" w14:textId="5D4816AE" w:rsidR="00903B1E" w:rsidRDefault="00903B1E" w:rsidP="00903B1E">
      <w:pPr>
        <w:pStyle w:val="Exemple"/>
        <w:numPr>
          <w:ilvl w:val="0"/>
          <w:numId w:val="17"/>
        </w:numPr>
      </w:pPr>
      <w:r>
        <w:t>Travaux et réparation pour les logements anciens (plus de deux ans) pour lesquels le taux de 5,5% n’est pas applicable</w:t>
      </w:r>
      <w:r w:rsidR="009E5D97">
        <w:t xml:space="preserve"> (</w:t>
      </w:r>
      <w:hyperlink r:id="rId51" w:history="1">
        <w:r w:rsidR="009E5D97" w:rsidRPr="009E5D97">
          <w:rPr>
            <w:rStyle w:val="Lienhypertexte"/>
          </w:rPr>
          <w:t>article 279-0 bis du CGI</w:t>
        </w:r>
      </w:hyperlink>
      <w:r w:rsidR="009E5D97">
        <w:t xml:space="preserve">). </w:t>
      </w:r>
    </w:p>
    <w:p w14:paraId="570F9B0B" w14:textId="69DED34F" w:rsidR="00903B1E" w:rsidRDefault="00A2387B" w:rsidP="00903B1E">
      <w:pPr>
        <w:pStyle w:val="Exemple"/>
        <w:numPr>
          <w:ilvl w:val="0"/>
          <w:numId w:val="17"/>
        </w:numPr>
      </w:pPr>
      <w:r>
        <w:t xml:space="preserve">Certains spectacles, jeux et divertissements. </w:t>
      </w:r>
    </w:p>
    <w:p w14:paraId="262ECECE" w14:textId="19D7609B" w:rsidR="00903B1E" w:rsidRPr="00B20ADD" w:rsidRDefault="00A2387B" w:rsidP="00B20ADD">
      <w:pPr>
        <w:jc w:val="center"/>
        <w:rPr>
          <w:b/>
          <w:bCs/>
        </w:rPr>
      </w:pPr>
      <w:r w:rsidRPr="00B20ADD">
        <w:rPr>
          <w:b/>
          <w:bCs/>
        </w:rPr>
        <w:t>Voici un tableau récapitulatif de l’é</w:t>
      </w:r>
      <w:r w:rsidR="00903B1E" w:rsidRPr="00B20ADD">
        <w:rPr>
          <w:b/>
          <w:bCs/>
        </w:rPr>
        <w:t xml:space="preserve">volution </w:t>
      </w:r>
      <w:r w:rsidRPr="00B20ADD">
        <w:rPr>
          <w:b/>
          <w:bCs/>
        </w:rPr>
        <w:t>d</w:t>
      </w:r>
      <w:r w:rsidR="00B20ADD">
        <w:rPr>
          <w:b/>
          <w:bCs/>
        </w:rPr>
        <w:t>u taux depuis l’origine</w:t>
      </w:r>
      <w:r w:rsidRPr="00B20ADD">
        <w:rPr>
          <w:b/>
          <w:bCs/>
        </w:rPr>
        <w:t> :</w:t>
      </w:r>
    </w:p>
    <w:tbl>
      <w:tblPr>
        <w:tblStyle w:val="Grilledutableau"/>
        <w:tblW w:w="0" w:type="auto"/>
        <w:jc w:val="center"/>
        <w:tblLook w:val="04A0" w:firstRow="1" w:lastRow="0" w:firstColumn="1" w:lastColumn="0" w:noHBand="0" w:noVBand="1"/>
      </w:tblPr>
      <w:tblGrid>
        <w:gridCol w:w="1951"/>
        <w:gridCol w:w="1276"/>
      </w:tblGrid>
      <w:tr w:rsidR="00A2387B" w14:paraId="483AC22C" w14:textId="77777777" w:rsidTr="00B20ADD">
        <w:trPr>
          <w:jc w:val="center"/>
        </w:trPr>
        <w:tc>
          <w:tcPr>
            <w:tcW w:w="1951" w:type="dxa"/>
            <w:shd w:val="clear" w:color="auto" w:fill="F2F2F2" w:themeFill="background1" w:themeFillShade="F2"/>
          </w:tcPr>
          <w:p w14:paraId="5BA92C64" w14:textId="6A8F0A4E" w:rsidR="00A2387B" w:rsidRDefault="00A2387B" w:rsidP="00903B1E">
            <w:r>
              <w:t>Années</w:t>
            </w:r>
          </w:p>
        </w:tc>
        <w:tc>
          <w:tcPr>
            <w:tcW w:w="1276" w:type="dxa"/>
            <w:shd w:val="clear" w:color="auto" w:fill="F2F2F2" w:themeFill="background1" w:themeFillShade="F2"/>
          </w:tcPr>
          <w:p w14:paraId="0418D89D" w14:textId="30ACCD7F" w:rsidR="00A2387B" w:rsidRDefault="00A2387B" w:rsidP="00B20ADD">
            <w:pPr>
              <w:jc w:val="center"/>
            </w:pPr>
            <w:r>
              <w:t>Taux</w:t>
            </w:r>
          </w:p>
        </w:tc>
      </w:tr>
      <w:tr w:rsidR="00A2387B" w14:paraId="120F8A8A" w14:textId="77777777" w:rsidTr="00B20ADD">
        <w:trPr>
          <w:jc w:val="center"/>
        </w:trPr>
        <w:tc>
          <w:tcPr>
            <w:tcW w:w="1951" w:type="dxa"/>
          </w:tcPr>
          <w:p w14:paraId="1137E23C" w14:textId="3714A51A" w:rsidR="00A2387B" w:rsidRDefault="00A2387B" w:rsidP="00903B1E">
            <w:r>
              <w:t>1954</w:t>
            </w:r>
          </w:p>
        </w:tc>
        <w:tc>
          <w:tcPr>
            <w:tcW w:w="1276" w:type="dxa"/>
          </w:tcPr>
          <w:p w14:paraId="27EEDFE1" w14:textId="252B98A9" w:rsidR="00A2387B" w:rsidRDefault="00A2387B" w:rsidP="00B20ADD">
            <w:pPr>
              <w:jc w:val="center"/>
            </w:pPr>
            <w:r>
              <w:t>7,5%</w:t>
            </w:r>
          </w:p>
        </w:tc>
      </w:tr>
      <w:tr w:rsidR="00A2387B" w14:paraId="0898C766" w14:textId="77777777" w:rsidTr="00B20ADD">
        <w:trPr>
          <w:jc w:val="center"/>
        </w:trPr>
        <w:tc>
          <w:tcPr>
            <w:tcW w:w="1951" w:type="dxa"/>
            <w:shd w:val="clear" w:color="auto" w:fill="F2F2F2" w:themeFill="background1" w:themeFillShade="F2"/>
          </w:tcPr>
          <w:p w14:paraId="794294C4" w14:textId="28EE7C23" w:rsidR="00A2387B" w:rsidRDefault="00A2387B" w:rsidP="00903B1E">
            <w:r>
              <w:t>1968</w:t>
            </w:r>
          </w:p>
        </w:tc>
        <w:tc>
          <w:tcPr>
            <w:tcW w:w="1276" w:type="dxa"/>
            <w:shd w:val="clear" w:color="auto" w:fill="F2F2F2" w:themeFill="background1" w:themeFillShade="F2"/>
          </w:tcPr>
          <w:p w14:paraId="0A520BBB" w14:textId="1DB7A582" w:rsidR="00A2387B" w:rsidRDefault="00A2387B" w:rsidP="00B20ADD">
            <w:pPr>
              <w:jc w:val="center"/>
            </w:pPr>
            <w:r>
              <w:t>13%</w:t>
            </w:r>
          </w:p>
        </w:tc>
      </w:tr>
      <w:tr w:rsidR="00A2387B" w14:paraId="4F648634" w14:textId="77777777" w:rsidTr="00B20ADD">
        <w:trPr>
          <w:jc w:val="center"/>
        </w:trPr>
        <w:tc>
          <w:tcPr>
            <w:tcW w:w="1951" w:type="dxa"/>
          </w:tcPr>
          <w:p w14:paraId="68264BF3" w14:textId="4955B2DA" w:rsidR="00A2387B" w:rsidRDefault="00A2387B" w:rsidP="00903B1E">
            <w:r>
              <w:t>1969</w:t>
            </w:r>
          </w:p>
        </w:tc>
        <w:tc>
          <w:tcPr>
            <w:tcW w:w="1276" w:type="dxa"/>
          </w:tcPr>
          <w:p w14:paraId="203C9673" w14:textId="76A1D978" w:rsidR="00A2387B" w:rsidRDefault="00A2387B" w:rsidP="00B20ADD">
            <w:pPr>
              <w:jc w:val="center"/>
            </w:pPr>
            <w:r>
              <w:t>15%</w:t>
            </w:r>
          </w:p>
        </w:tc>
      </w:tr>
      <w:tr w:rsidR="00A2387B" w14:paraId="3B557964" w14:textId="77777777" w:rsidTr="00B20ADD">
        <w:trPr>
          <w:jc w:val="center"/>
        </w:trPr>
        <w:tc>
          <w:tcPr>
            <w:tcW w:w="1951" w:type="dxa"/>
            <w:shd w:val="clear" w:color="auto" w:fill="F2F2F2" w:themeFill="background1" w:themeFillShade="F2"/>
          </w:tcPr>
          <w:p w14:paraId="5E7D5D38" w14:textId="71C5CF5E" w:rsidR="00A2387B" w:rsidRDefault="00A2387B" w:rsidP="00903B1E">
            <w:r>
              <w:t>1970</w:t>
            </w:r>
          </w:p>
        </w:tc>
        <w:tc>
          <w:tcPr>
            <w:tcW w:w="1276" w:type="dxa"/>
            <w:shd w:val="clear" w:color="auto" w:fill="F2F2F2" w:themeFill="background1" w:themeFillShade="F2"/>
          </w:tcPr>
          <w:p w14:paraId="0A6E0F81" w14:textId="3A20D584" w:rsidR="00A2387B" w:rsidRDefault="00A2387B" w:rsidP="00B20ADD">
            <w:pPr>
              <w:jc w:val="center"/>
            </w:pPr>
            <w:r>
              <w:t>17,6%</w:t>
            </w:r>
          </w:p>
        </w:tc>
      </w:tr>
      <w:tr w:rsidR="00A2387B" w14:paraId="2E297707" w14:textId="77777777" w:rsidTr="00B20ADD">
        <w:trPr>
          <w:jc w:val="center"/>
        </w:trPr>
        <w:tc>
          <w:tcPr>
            <w:tcW w:w="1951" w:type="dxa"/>
          </w:tcPr>
          <w:p w14:paraId="591ECDA3" w14:textId="3DA068A6" w:rsidR="00A2387B" w:rsidRDefault="00A2387B" w:rsidP="00903B1E">
            <w:r>
              <w:t>1977</w:t>
            </w:r>
          </w:p>
        </w:tc>
        <w:tc>
          <w:tcPr>
            <w:tcW w:w="1276" w:type="dxa"/>
          </w:tcPr>
          <w:p w14:paraId="0DC3DE07" w14:textId="09B732D7" w:rsidR="00A2387B" w:rsidRDefault="00A2387B" w:rsidP="00B20ADD">
            <w:pPr>
              <w:jc w:val="center"/>
            </w:pPr>
            <w:r>
              <w:t>Supprimé</w:t>
            </w:r>
          </w:p>
        </w:tc>
      </w:tr>
      <w:tr w:rsidR="00A2387B" w14:paraId="537A3FBA" w14:textId="77777777" w:rsidTr="00B20ADD">
        <w:trPr>
          <w:jc w:val="center"/>
        </w:trPr>
        <w:tc>
          <w:tcPr>
            <w:tcW w:w="1951" w:type="dxa"/>
            <w:shd w:val="clear" w:color="auto" w:fill="F2F2F2" w:themeFill="background1" w:themeFillShade="F2"/>
          </w:tcPr>
          <w:p w14:paraId="07C82223" w14:textId="23FDDA05" w:rsidR="00A2387B" w:rsidRDefault="00A2387B" w:rsidP="00903B1E">
            <w:r>
              <w:t>2012</w:t>
            </w:r>
          </w:p>
        </w:tc>
        <w:tc>
          <w:tcPr>
            <w:tcW w:w="1276" w:type="dxa"/>
            <w:shd w:val="clear" w:color="auto" w:fill="F2F2F2" w:themeFill="background1" w:themeFillShade="F2"/>
          </w:tcPr>
          <w:p w14:paraId="23D23CFB" w14:textId="4265A7DD" w:rsidR="00A2387B" w:rsidRDefault="00A2387B" w:rsidP="00B20ADD">
            <w:pPr>
              <w:jc w:val="center"/>
            </w:pPr>
            <w:r>
              <w:t>7%</w:t>
            </w:r>
          </w:p>
        </w:tc>
      </w:tr>
      <w:tr w:rsidR="00A2387B" w14:paraId="70C171CB" w14:textId="77777777" w:rsidTr="00B20ADD">
        <w:trPr>
          <w:jc w:val="center"/>
        </w:trPr>
        <w:tc>
          <w:tcPr>
            <w:tcW w:w="1951" w:type="dxa"/>
          </w:tcPr>
          <w:p w14:paraId="13EB948B" w14:textId="52ABAC09" w:rsidR="00A2387B" w:rsidRDefault="00A2387B" w:rsidP="00903B1E">
            <w:r>
              <w:t>2014</w:t>
            </w:r>
          </w:p>
        </w:tc>
        <w:tc>
          <w:tcPr>
            <w:tcW w:w="1276" w:type="dxa"/>
          </w:tcPr>
          <w:p w14:paraId="4FAE6765" w14:textId="18AC0BC9" w:rsidR="00A2387B" w:rsidRDefault="00A2387B" w:rsidP="00B20ADD">
            <w:pPr>
              <w:jc w:val="center"/>
            </w:pPr>
            <w:r>
              <w:t>10%</w:t>
            </w:r>
          </w:p>
        </w:tc>
      </w:tr>
    </w:tbl>
    <w:p w14:paraId="1ACA0720" w14:textId="07ACF2BF" w:rsidR="00903B1E" w:rsidRDefault="00903B1E" w:rsidP="00903B1E"/>
    <w:p w14:paraId="10E92D35" w14:textId="035F3E90" w:rsidR="00A2387B" w:rsidRDefault="00A2387B" w:rsidP="00A2387B">
      <w:pPr>
        <w:pStyle w:val="Remarque"/>
      </w:pPr>
      <w:r>
        <w:t xml:space="preserve">Le plus souvent, sur les exemples et les produits relevant du taux intermédiaire, ce sont les opérations d’achat, d’importation, d’acquisition intracommunautaire, de vente, de livraison, de commission, de courtage, ou de façon portant sur ces produits. </w:t>
      </w:r>
    </w:p>
    <w:p w14:paraId="77EFDBF2" w14:textId="77777777" w:rsidR="00E61457" w:rsidRPr="00E61457" w:rsidRDefault="00E61457" w:rsidP="00E61457"/>
    <w:p w14:paraId="1BC243A2" w14:textId="0D0B1C25" w:rsidR="00903B1E" w:rsidRDefault="00903B1E" w:rsidP="00903B1E">
      <w:pPr>
        <w:pStyle w:val="Titre5"/>
      </w:pPr>
      <w:r>
        <w:t>b. Le</w:t>
      </w:r>
      <w:r w:rsidR="0050574A">
        <w:t xml:space="preserve"> </w:t>
      </w:r>
      <w:r>
        <w:t xml:space="preserve">taux réduit </w:t>
      </w:r>
    </w:p>
    <w:p w14:paraId="22B50ACA" w14:textId="77777777" w:rsidR="00082226" w:rsidRDefault="00082226" w:rsidP="00903B1E"/>
    <w:p w14:paraId="445DC521" w14:textId="0A18D1BA" w:rsidR="00082226" w:rsidRDefault="00903B1E" w:rsidP="00903B1E">
      <w:r>
        <w:t xml:space="preserve">Appelé </w:t>
      </w:r>
      <w:r w:rsidR="0050574A">
        <w:t>famil</w:t>
      </w:r>
      <w:r w:rsidR="00B61764">
        <w:t>i</w:t>
      </w:r>
      <w:r w:rsidR="0050574A">
        <w:t>èrement</w:t>
      </w:r>
      <w:r>
        <w:t xml:space="preserve"> </w:t>
      </w:r>
      <w:r w:rsidRPr="009B5CE3">
        <w:rPr>
          <w:b/>
          <w:bCs/>
          <w:color w:val="832C6B"/>
        </w:rPr>
        <w:t xml:space="preserve">le </w:t>
      </w:r>
      <w:r w:rsidR="0050574A">
        <w:rPr>
          <w:b/>
          <w:bCs/>
          <w:color w:val="832C6B"/>
        </w:rPr>
        <w:t xml:space="preserve">petit </w:t>
      </w:r>
      <w:r w:rsidRPr="009B5CE3">
        <w:rPr>
          <w:b/>
          <w:bCs/>
          <w:color w:val="832C6B"/>
        </w:rPr>
        <w:t>taux réduit</w:t>
      </w:r>
      <w:r w:rsidR="00082226">
        <w:t>, ce taux de 5,5%</w:t>
      </w:r>
      <w:r w:rsidR="008E670B">
        <w:t xml:space="preserve">, énoncé à </w:t>
      </w:r>
      <w:hyperlink r:id="rId52" w:history="1">
        <w:r w:rsidR="008E670B" w:rsidRPr="008E670B">
          <w:rPr>
            <w:rStyle w:val="Lienhypertexte"/>
          </w:rPr>
          <w:t>l’article 278-0 bis du CGI</w:t>
        </w:r>
      </w:hyperlink>
      <w:r w:rsidR="008E670B">
        <w:t>,</w:t>
      </w:r>
      <w:r w:rsidR="00082226">
        <w:t xml:space="preserve"> s’applique à certains produits ou biens et prestations de services, encore une fois limitativement désignés par la loi. </w:t>
      </w:r>
    </w:p>
    <w:p w14:paraId="684F041F" w14:textId="32B1D0F9" w:rsidR="00082226" w:rsidRPr="00082226" w:rsidRDefault="00082226" w:rsidP="00082226">
      <w:pPr>
        <w:pStyle w:val="Exemple"/>
      </w:pPr>
      <w:r>
        <w:t>Par exemple, il porte sur les produits de base ainsi que sur les abonnements électricité et gaz</w:t>
      </w:r>
      <w:r w:rsidR="0050574A">
        <w:t> </w:t>
      </w:r>
      <w:r>
        <w:t>; les livres</w:t>
      </w:r>
      <w:r w:rsidR="0050574A">
        <w:t> </w:t>
      </w:r>
      <w:r>
        <w:t>; les spectacles vivants et le cinéma</w:t>
      </w:r>
      <w:r w:rsidR="0050574A">
        <w:t> </w:t>
      </w:r>
      <w:r w:rsidR="008E670B">
        <w:t>; les denrées alimentaires</w:t>
      </w:r>
      <w:r w:rsidR="0050574A">
        <w:t> </w:t>
      </w:r>
      <w:r>
        <w:t>; les équipements destinés aux personnes handicapées</w:t>
      </w:r>
      <w:r w:rsidR="0050574A">
        <w:t> </w:t>
      </w:r>
      <w:r>
        <w:t>: cantines scolaires</w:t>
      </w:r>
      <w:r w:rsidR="0050574A">
        <w:t> </w:t>
      </w:r>
      <w:r>
        <w:t>; les produits de protection hygiénique féminine</w:t>
      </w:r>
      <w:r w:rsidR="0050574A">
        <w:t> </w:t>
      </w:r>
      <w:r>
        <w:t>;</w:t>
      </w:r>
      <w:r w:rsidR="00E31D6F">
        <w:t xml:space="preserve"> les autotests de détection de l’infection par les virus de l’immunodéficience humaine. </w:t>
      </w:r>
    </w:p>
    <w:p w14:paraId="40C7274B" w14:textId="0205365F" w:rsidR="00716728" w:rsidRDefault="00716728" w:rsidP="00716728">
      <w:pPr>
        <w:jc w:val="both"/>
      </w:pPr>
      <w:r>
        <w:t>Depuis le 1</w:t>
      </w:r>
      <w:r w:rsidRPr="00716728">
        <w:rPr>
          <w:vertAlign w:val="superscript"/>
        </w:rPr>
        <w:t>er</w:t>
      </w:r>
      <w:r>
        <w:t xml:space="preserve"> janvier 2023, pour tenir compte de la situation actuelle le taux réduit de 5,5% a été étendu aux livraisons de denrées alimentaires destinées à la consommation des animaux producteurs de denrées alimentaires et aux produits d’origine agricole, de la pêche, de la pisciculture ou de l’aviculture. Le taux de 5,5% continue de s’appliquer comme en 2022, aux matériels et produits de protection contre le COVID-19.</w:t>
      </w:r>
    </w:p>
    <w:p w14:paraId="49CD8915" w14:textId="435C2368" w:rsidR="00903B1E" w:rsidRDefault="00082226" w:rsidP="001464D4">
      <w:pPr>
        <w:jc w:val="center"/>
      </w:pPr>
      <w:r>
        <w:t>Le tableau ci-dessous retrace l’é</w:t>
      </w:r>
      <w:r w:rsidR="00903B1E">
        <w:t>volution</w:t>
      </w:r>
      <w:r>
        <w:t xml:space="preserve"> du taux réduit</w:t>
      </w:r>
      <w:r w:rsidR="0050574A">
        <w:t> </w:t>
      </w:r>
      <w:r>
        <w:t>:</w:t>
      </w:r>
    </w:p>
    <w:tbl>
      <w:tblPr>
        <w:tblStyle w:val="Grilledutableau"/>
        <w:tblW w:w="0" w:type="auto"/>
        <w:jc w:val="center"/>
        <w:tblLook w:val="04A0" w:firstRow="1" w:lastRow="0" w:firstColumn="1" w:lastColumn="0" w:noHBand="0" w:noVBand="1"/>
      </w:tblPr>
      <w:tblGrid>
        <w:gridCol w:w="2235"/>
        <w:gridCol w:w="1417"/>
      </w:tblGrid>
      <w:tr w:rsidR="00082226" w14:paraId="7B92EE60" w14:textId="77777777" w:rsidTr="001464D4">
        <w:trPr>
          <w:jc w:val="center"/>
        </w:trPr>
        <w:tc>
          <w:tcPr>
            <w:tcW w:w="2235" w:type="dxa"/>
            <w:shd w:val="clear" w:color="auto" w:fill="F2F2F2" w:themeFill="background1" w:themeFillShade="F2"/>
          </w:tcPr>
          <w:p w14:paraId="21866A86" w14:textId="70529897" w:rsidR="00082226" w:rsidRDefault="00082226" w:rsidP="0050574A">
            <w:pPr>
              <w:jc w:val="center"/>
            </w:pPr>
            <w:r>
              <w:t>Années</w:t>
            </w:r>
          </w:p>
        </w:tc>
        <w:tc>
          <w:tcPr>
            <w:tcW w:w="1417" w:type="dxa"/>
            <w:shd w:val="clear" w:color="auto" w:fill="F2F2F2" w:themeFill="background1" w:themeFillShade="F2"/>
          </w:tcPr>
          <w:p w14:paraId="3CB15EE9" w14:textId="02A6577A" w:rsidR="00082226" w:rsidRDefault="00082226" w:rsidP="0050574A">
            <w:pPr>
              <w:jc w:val="center"/>
            </w:pPr>
            <w:r>
              <w:t>Taux</w:t>
            </w:r>
          </w:p>
        </w:tc>
      </w:tr>
      <w:tr w:rsidR="00082226" w14:paraId="46F6BA4F" w14:textId="77777777" w:rsidTr="001464D4">
        <w:trPr>
          <w:jc w:val="center"/>
        </w:trPr>
        <w:tc>
          <w:tcPr>
            <w:tcW w:w="2235" w:type="dxa"/>
          </w:tcPr>
          <w:p w14:paraId="4ECFE1FE" w14:textId="463EF000" w:rsidR="00082226" w:rsidRDefault="00082226" w:rsidP="0050574A">
            <w:pPr>
              <w:jc w:val="center"/>
            </w:pPr>
            <w:r>
              <w:t>1954</w:t>
            </w:r>
          </w:p>
        </w:tc>
        <w:tc>
          <w:tcPr>
            <w:tcW w:w="1417" w:type="dxa"/>
          </w:tcPr>
          <w:p w14:paraId="181DB6B3" w14:textId="5F041F60" w:rsidR="00082226" w:rsidRDefault="00082226" w:rsidP="0050574A">
            <w:pPr>
              <w:jc w:val="center"/>
            </w:pPr>
            <w:r>
              <w:t>7,5%</w:t>
            </w:r>
          </w:p>
        </w:tc>
      </w:tr>
      <w:tr w:rsidR="00082226" w14:paraId="4B956520" w14:textId="77777777" w:rsidTr="001464D4">
        <w:trPr>
          <w:jc w:val="center"/>
        </w:trPr>
        <w:tc>
          <w:tcPr>
            <w:tcW w:w="2235" w:type="dxa"/>
            <w:shd w:val="clear" w:color="auto" w:fill="F2F2F2" w:themeFill="background1" w:themeFillShade="F2"/>
          </w:tcPr>
          <w:p w14:paraId="025634E8" w14:textId="7ADE8E1E" w:rsidR="00082226" w:rsidRDefault="00082226" w:rsidP="0050574A">
            <w:pPr>
              <w:jc w:val="center"/>
            </w:pPr>
            <w:r>
              <w:t>1968</w:t>
            </w:r>
          </w:p>
        </w:tc>
        <w:tc>
          <w:tcPr>
            <w:tcW w:w="1417" w:type="dxa"/>
            <w:shd w:val="clear" w:color="auto" w:fill="F2F2F2" w:themeFill="background1" w:themeFillShade="F2"/>
          </w:tcPr>
          <w:p w14:paraId="40385158" w14:textId="3F91FDF5" w:rsidR="00082226" w:rsidRDefault="00082226" w:rsidP="0050574A">
            <w:pPr>
              <w:jc w:val="center"/>
            </w:pPr>
            <w:r>
              <w:t>6%</w:t>
            </w:r>
          </w:p>
        </w:tc>
      </w:tr>
      <w:tr w:rsidR="00082226" w14:paraId="699E5239" w14:textId="77777777" w:rsidTr="001464D4">
        <w:trPr>
          <w:jc w:val="center"/>
        </w:trPr>
        <w:tc>
          <w:tcPr>
            <w:tcW w:w="2235" w:type="dxa"/>
          </w:tcPr>
          <w:p w14:paraId="3D556A65" w14:textId="4EAA1CC3" w:rsidR="00082226" w:rsidRDefault="00082226" w:rsidP="0050574A">
            <w:pPr>
              <w:jc w:val="center"/>
            </w:pPr>
            <w:r>
              <w:t>1969</w:t>
            </w:r>
          </w:p>
        </w:tc>
        <w:tc>
          <w:tcPr>
            <w:tcW w:w="1417" w:type="dxa"/>
          </w:tcPr>
          <w:p w14:paraId="10DF8281" w14:textId="78937125" w:rsidR="00082226" w:rsidRDefault="00082226" w:rsidP="0050574A">
            <w:pPr>
              <w:jc w:val="center"/>
            </w:pPr>
            <w:r>
              <w:t>7%</w:t>
            </w:r>
          </w:p>
        </w:tc>
      </w:tr>
      <w:tr w:rsidR="00082226" w14:paraId="06FFEA5D" w14:textId="77777777" w:rsidTr="001464D4">
        <w:trPr>
          <w:jc w:val="center"/>
        </w:trPr>
        <w:tc>
          <w:tcPr>
            <w:tcW w:w="2235" w:type="dxa"/>
            <w:shd w:val="clear" w:color="auto" w:fill="F2F2F2" w:themeFill="background1" w:themeFillShade="F2"/>
          </w:tcPr>
          <w:p w14:paraId="79C539DB" w14:textId="73B88090" w:rsidR="00082226" w:rsidRDefault="00082226" w:rsidP="0050574A">
            <w:pPr>
              <w:jc w:val="center"/>
            </w:pPr>
            <w:r>
              <w:t>1970</w:t>
            </w:r>
          </w:p>
        </w:tc>
        <w:tc>
          <w:tcPr>
            <w:tcW w:w="1417" w:type="dxa"/>
            <w:shd w:val="clear" w:color="auto" w:fill="F2F2F2" w:themeFill="background1" w:themeFillShade="F2"/>
          </w:tcPr>
          <w:p w14:paraId="1E498F01" w14:textId="59A1731A" w:rsidR="00082226" w:rsidRDefault="00082226" w:rsidP="0050574A">
            <w:pPr>
              <w:jc w:val="center"/>
            </w:pPr>
            <w:r>
              <w:t>7,5%</w:t>
            </w:r>
          </w:p>
        </w:tc>
      </w:tr>
      <w:tr w:rsidR="00082226" w14:paraId="4DDCA3B0" w14:textId="77777777" w:rsidTr="001464D4">
        <w:trPr>
          <w:jc w:val="center"/>
        </w:trPr>
        <w:tc>
          <w:tcPr>
            <w:tcW w:w="2235" w:type="dxa"/>
          </w:tcPr>
          <w:p w14:paraId="22CEB2D3" w14:textId="4A1B46B2" w:rsidR="00082226" w:rsidRDefault="00082226" w:rsidP="0050574A">
            <w:pPr>
              <w:jc w:val="center"/>
            </w:pPr>
            <w:r>
              <w:t>1972</w:t>
            </w:r>
          </w:p>
        </w:tc>
        <w:tc>
          <w:tcPr>
            <w:tcW w:w="1417" w:type="dxa"/>
          </w:tcPr>
          <w:p w14:paraId="6EAF159A" w14:textId="60E83C82" w:rsidR="00082226" w:rsidRDefault="00082226" w:rsidP="0050574A">
            <w:pPr>
              <w:jc w:val="center"/>
            </w:pPr>
            <w:r>
              <w:t>7%</w:t>
            </w:r>
          </w:p>
        </w:tc>
      </w:tr>
      <w:tr w:rsidR="00082226" w14:paraId="478F6373" w14:textId="77777777" w:rsidTr="001464D4">
        <w:trPr>
          <w:jc w:val="center"/>
        </w:trPr>
        <w:tc>
          <w:tcPr>
            <w:tcW w:w="2235" w:type="dxa"/>
            <w:shd w:val="clear" w:color="auto" w:fill="F2F2F2" w:themeFill="background1" w:themeFillShade="F2"/>
          </w:tcPr>
          <w:p w14:paraId="78A9E2B8" w14:textId="09A08A44" w:rsidR="00082226" w:rsidRDefault="00082226" w:rsidP="0050574A">
            <w:pPr>
              <w:jc w:val="center"/>
            </w:pPr>
            <w:r>
              <w:t>1992</w:t>
            </w:r>
          </w:p>
        </w:tc>
        <w:tc>
          <w:tcPr>
            <w:tcW w:w="1417" w:type="dxa"/>
            <w:shd w:val="clear" w:color="auto" w:fill="F2F2F2" w:themeFill="background1" w:themeFillShade="F2"/>
          </w:tcPr>
          <w:p w14:paraId="286BB870" w14:textId="20D62178" w:rsidR="00082226" w:rsidRDefault="00082226" w:rsidP="0050574A">
            <w:pPr>
              <w:jc w:val="center"/>
            </w:pPr>
            <w:r>
              <w:t>5,5%</w:t>
            </w:r>
          </w:p>
        </w:tc>
      </w:tr>
    </w:tbl>
    <w:p w14:paraId="255CC7AC" w14:textId="77777777" w:rsidR="0050574A" w:rsidRDefault="0050574A" w:rsidP="000A2812">
      <w:pPr>
        <w:rPr>
          <w:color w:val="FF0000"/>
        </w:rPr>
      </w:pPr>
    </w:p>
    <w:p w14:paraId="46C6ECCA" w14:textId="7365D9AD" w:rsidR="00082226" w:rsidRPr="0050574A" w:rsidRDefault="0050574A" w:rsidP="000A2812">
      <w:pPr>
        <w:rPr>
          <w:b/>
          <w:bCs/>
          <w:color w:val="000000" w:themeColor="text1"/>
        </w:rPr>
      </w:pPr>
      <w:r w:rsidRPr="0050574A">
        <w:rPr>
          <w:b/>
          <w:bCs/>
          <w:color w:val="000000" w:themeColor="text1"/>
        </w:rPr>
        <w:t>On pourrait réduire encore un peu ce taux qui pourrait redescendre jusqu’au plancher de 5% fixé par l’Europe.</w:t>
      </w:r>
    </w:p>
    <w:p w14:paraId="16ECD354" w14:textId="73BB1278" w:rsidR="00903B1E" w:rsidRDefault="00903B1E" w:rsidP="00903B1E">
      <w:pPr>
        <w:pStyle w:val="Titre4"/>
      </w:pPr>
      <w:r>
        <w:t xml:space="preserve">2. Le taux </w:t>
      </w:r>
      <w:r w:rsidRPr="00903B1E">
        <w:t>super</w:t>
      </w:r>
      <w:r>
        <w:t>-réduit ou taux particulier</w:t>
      </w:r>
    </w:p>
    <w:p w14:paraId="6AC07FE0" w14:textId="14FF94E2" w:rsidR="00903B1E" w:rsidRDefault="0050574A" w:rsidP="0050574A">
      <w:pPr>
        <w:tabs>
          <w:tab w:val="left" w:pos="2412"/>
        </w:tabs>
      </w:pPr>
      <w:r>
        <w:tab/>
      </w:r>
    </w:p>
    <w:p w14:paraId="38F28926" w14:textId="6D4FB8DA" w:rsidR="003F7A73" w:rsidRPr="0053733A" w:rsidRDefault="009B5CE3" w:rsidP="003F7A73">
      <w:r>
        <w:t>En France, il n’y a qu’un taux particulier qui fut c</w:t>
      </w:r>
      <w:r w:rsidR="003F7A73">
        <w:t>réé en 1982</w:t>
      </w:r>
      <w:r>
        <w:t>. I</w:t>
      </w:r>
      <w:r w:rsidR="003F7A73">
        <w:t xml:space="preserve">l </w:t>
      </w:r>
      <w:r w:rsidR="00716728">
        <w:t>a été</w:t>
      </w:r>
      <w:r>
        <w:t xml:space="preserve"> d’abord fixé </w:t>
      </w:r>
      <w:r w:rsidR="003F7A73">
        <w:t xml:space="preserve">à 5,5%, </w:t>
      </w:r>
      <w:r>
        <w:t xml:space="preserve">puis </w:t>
      </w:r>
      <w:r w:rsidR="003F7A73" w:rsidRPr="0053733A">
        <w:t xml:space="preserve">abaissé à </w:t>
      </w:r>
      <w:r w:rsidR="003F7A73" w:rsidRPr="00716728">
        <w:rPr>
          <w:b/>
          <w:bCs/>
        </w:rPr>
        <w:t>2,1%</w:t>
      </w:r>
      <w:r w:rsidR="003F7A73" w:rsidRPr="0053733A">
        <w:t xml:space="preserve"> à partir de 1989 et ne sera p</w:t>
      </w:r>
      <w:r>
        <w:t>lus</w:t>
      </w:r>
      <w:r w:rsidR="003F7A73" w:rsidRPr="0053733A">
        <w:t xml:space="preserve"> modifié. </w:t>
      </w:r>
    </w:p>
    <w:p w14:paraId="4690D955" w14:textId="535101F2" w:rsidR="00A12981" w:rsidRDefault="009B5CE3" w:rsidP="003F7A73">
      <w:r>
        <w:t>Ce taux particulier p</w:t>
      </w:r>
      <w:r w:rsidR="003F7A73">
        <w:t xml:space="preserve">orte sur la presse quotidienne papier, les médicaments remboursés, </w:t>
      </w:r>
      <w:r>
        <w:t xml:space="preserve">les médicaments soumis à autorisation temporaire et produits sanguins, </w:t>
      </w:r>
      <w:r w:rsidR="003F7A73">
        <w:t xml:space="preserve">les nouveaux spectacles. </w:t>
      </w:r>
    </w:p>
    <w:p w14:paraId="3BDE5332" w14:textId="77777777" w:rsidR="009B5CE3" w:rsidRDefault="009B5CE3" w:rsidP="003F7A73"/>
    <w:p w14:paraId="17F3435C" w14:textId="44E4C799" w:rsidR="003F7A73" w:rsidRDefault="003F7A73" w:rsidP="00A12981">
      <w:pPr>
        <w:pStyle w:val="Titre4"/>
      </w:pPr>
      <w:r>
        <w:t xml:space="preserve">3. Les autres taux destinés </w:t>
      </w:r>
      <w:r w:rsidR="00A12981">
        <w:t xml:space="preserve">tenant compte de la spécificité de certains territoires </w:t>
      </w:r>
    </w:p>
    <w:p w14:paraId="3DFDBC4F" w14:textId="77777777" w:rsidR="009B5CE3" w:rsidRDefault="009B5CE3" w:rsidP="003F7A73"/>
    <w:p w14:paraId="7C3A5F72" w14:textId="3B5F5911" w:rsidR="00A12981" w:rsidRDefault="009B5CE3" w:rsidP="003F7A73">
      <w:r>
        <w:t xml:space="preserve">Ces taux sont pour </w:t>
      </w:r>
      <w:r w:rsidR="00F41983">
        <w:t>l</w:t>
      </w:r>
      <w:r w:rsidR="00A12981">
        <w:t>a Corse</w:t>
      </w:r>
      <w:r w:rsidR="007606F0">
        <w:t xml:space="preserve"> (</w:t>
      </w:r>
      <w:hyperlink r:id="rId53" w:history="1">
        <w:r w:rsidR="007606F0" w:rsidRPr="007606F0">
          <w:rPr>
            <w:rStyle w:val="Lienhypertexte"/>
          </w:rPr>
          <w:t>article 297 du CGI</w:t>
        </w:r>
      </w:hyperlink>
      <w:r w:rsidR="007606F0">
        <w:t>)</w:t>
      </w:r>
      <w:r w:rsidR="00A12981">
        <w:t xml:space="preserve"> et les DOM. </w:t>
      </w:r>
    </w:p>
    <w:p w14:paraId="6CBEB7EA" w14:textId="45136C5F" w:rsidR="00A12981" w:rsidRDefault="00A12981" w:rsidP="00A12981">
      <w:pPr>
        <w:pStyle w:val="Exemple"/>
      </w:pPr>
      <w:r>
        <w:t>Par exemple le taux normal est de 8,5% dans les DOM et le taux intermédiaire est à 2,10</w:t>
      </w:r>
      <w:r w:rsidR="009B5CE3">
        <w:t>%</w:t>
      </w:r>
      <w:r>
        <w:t xml:space="preserve"> dans les DOM. Les DOM ont également des taux super-réduits de 1,75% et de 1,05%.</w:t>
      </w:r>
    </w:p>
    <w:p w14:paraId="73BDF1F8" w14:textId="77777777" w:rsidR="00067EE6" w:rsidRDefault="00067EE6" w:rsidP="00A12981">
      <w:r>
        <w:t>Concernant</w:t>
      </w:r>
      <w:r w:rsidR="00A12981">
        <w:t xml:space="preserve"> la Corse, </w:t>
      </w:r>
      <w:r>
        <w:t xml:space="preserve">celle-ci compte 4 taux différent : </w:t>
      </w:r>
    </w:p>
    <w:p w14:paraId="26BF00E8" w14:textId="49C10E0A" w:rsidR="00067EE6" w:rsidRDefault="00067EE6" w:rsidP="00A12981">
      <w:pPr>
        <w:pStyle w:val="Paragraphedeliste"/>
        <w:numPr>
          <w:ilvl w:val="0"/>
          <w:numId w:val="29"/>
        </w:numPr>
      </w:pPr>
      <w:r>
        <w:t>L</w:t>
      </w:r>
      <w:r w:rsidR="00A12981">
        <w:t xml:space="preserve">e </w:t>
      </w:r>
      <w:r w:rsidR="00A12981" w:rsidRPr="00067EE6">
        <w:rPr>
          <w:b/>
          <w:bCs/>
          <w:color w:val="832C6B"/>
        </w:rPr>
        <w:t xml:space="preserve">taux normal </w:t>
      </w:r>
      <w:r w:rsidRPr="00067EE6">
        <w:rPr>
          <w:b/>
          <w:bCs/>
          <w:color w:val="832C6B"/>
        </w:rPr>
        <w:t>fixé à</w:t>
      </w:r>
      <w:r w:rsidR="00A12981" w:rsidRPr="00067EE6">
        <w:rPr>
          <w:b/>
          <w:bCs/>
          <w:color w:val="832C6B"/>
        </w:rPr>
        <w:t xml:space="preserve"> 20%</w:t>
      </w:r>
      <w:r>
        <w:t>, mais redescend à</w:t>
      </w:r>
      <w:r w:rsidR="00A12981">
        <w:t xml:space="preserve"> </w:t>
      </w:r>
      <w:r w:rsidR="00A12981" w:rsidRPr="00067EE6">
        <w:rPr>
          <w:b/>
          <w:bCs/>
          <w:color w:val="832C6B"/>
        </w:rPr>
        <w:t>13% pour les produits pétroliers</w:t>
      </w:r>
      <w:r w:rsidR="00A12981">
        <w:t xml:space="preserve">. </w:t>
      </w:r>
    </w:p>
    <w:p w14:paraId="5889B9BB" w14:textId="77777777" w:rsidR="00067EE6" w:rsidRDefault="00A12981" w:rsidP="00A12981">
      <w:pPr>
        <w:pStyle w:val="Paragraphedeliste"/>
        <w:numPr>
          <w:ilvl w:val="0"/>
          <w:numId w:val="29"/>
        </w:numPr>
      </w:pPr>
      <w:r>
        <w:t xml:space="preserve">Le </w:t>
      </w:r>
      <w:r w:rsidRPr="00067EE6">
        <w:rPr>
          <w:b/>
          <w:bCs/>
          <w:color w:val="832C6B"/>
        </w:rPr>
        <w:t>taux de 10%</w:t>
      </w:r>
      <w:r>
        <w:t xml:space="preserve"> </w:t>
      </w:r>
      <w:r w:rsidR="00067EE6">
        <w:t xml:space="preserve">qui </w:t>
      </w:r>
      <w:r>
        <w:t xml:space="preserve">s’applique aux travaux immobiliers, </w:t>
      </w:r>
      <w:r w:rsidR="00067EE6">
        <w:t>vente de</w:t>
      </w:r>
      <w:r>
        <w:t xml:space="preserve"> matériel</w:t>
      </w:r>
      <w:r w:rsidR="00067EE6">
        <w:t>s</w:t>
      </w:r>
      <w:r>
        <w:t xml:space="preserve"> agricole</w:t>
      </w:r>
      <w:r w:rsidR="00067EE6">
        <w:t>s</w:t>
      </w:r>
      <w:r>
        <w:t xml:space="preserve">, les locations en meublé, les ventes à consommer sur place et les ventes d’électricité en basse tension. </w:t>
      </w:r>
    </w:p>
    <w:p w14:paraId="2520CD6B" w14:textId="4EECA5F9" w:rsidR="00067EE6" w:rsidRDefault="00A12981" w:rsidP="00A12981">
      <w:pPr>
        <w:pStyle w:val="Paragraphedeliste"/>
        <w:numPr>
          <w:ilvl w:val="0"/>
          <w:numId w:val="29"/>
        </w:numPr>
      </w:pPr>
      <w:r>
        <w:lastRenderedPageBreak/>
        <w:t xml:space="preserve">Le </w:t>
      </w:r>
      <w:r w:rsidRPr="00067EE6">
        <w:rPr>
          <w:b/>
          <w:bCs/>
          <w:color w:val="832C6B"/>
        </w:rPr>
        <w:t>taux de 2,10%</w:t>
      </w:r>
      <w:r>
        <w:t xml:space="preserve"> s’applique pour certains biens livrés en Corse</w:t>
      </w:r>
      <w:r w:rsidR="00067EE6">
        <w:t xml:space="preserve">, notamment les opérations passibles sur le continent du taux réduit de 5,5% ou du taux intermédiaire de 10%, sauf quelques exceptions énumérées par la loi. </w:t>
      </w:r>
    </w:p>
    <w:p w14:paraId="0DC0126D" w14:textId="166F1EF7" w:rsidR="00A12981" w:rsidRDefault="00067EE6" w:rsidP="00A12981">
      <w:pPr>
        <w:pStyle w:val="Paragraphedeliste"/>
        <w:numPr>
          <w:ilvl w:val="0"/>
          <w:numId w:val="29"/>
        </w:numPr>
      </w:pPr>
      <w:r>
        <w:t>Enfin on trouve un</w:t>
      </w:r>
      <w:r w:rsidR="00A12981">
        <w:t xml:space="preserve"> </w:t>
      </w:r>
      <w:r w:rsidR="00A12981" w:rsidRPr="00067EE6">
        <w:rPr>
          <w:b/>
          <w:bCs/>
          <w:color w:val="832C6B"/>
        </w:rPr>
        <w:t xml:space="preserve">taux </w:t>
      </w:r>
      <w:r w:rsidRPr="00067EE6">
        <w:rPr>
          <w:b/>
          <w:bCs/>
          <w:color w:val="832C6B"/>
        </w:rPr>
        <w:t>super</w:t>
      </w:r>
      <w:r>
        <w:rPr>
          <w:b/>
          <w:bCs/>
          <w:color w:val="832C6B"/>
        </w:rPr>
        <w:t>-</w:t>
      </w:r>
      <w:r w:rsidR="00A12981" w:rsidRPr="00067EE6">
        <w:rPr>
          <w:b/>
          <w:bCs/>
          <w:color w:val="832C6B"/>
        </w:rPr>
        <w:t>réduit de 0,90%</w:t>
      </w:r>
      <w:r w:rsidR="00A12981">
        <w:t xml:space="preserve"> pour les premières représentations de certains spectacles</w:t>
      </w:r>
      <w:r>
        <w:t xml:space="preserve">, et les ventes d’animaux vivants de boucherie et de charcuterie à des non-redevables. </w:t>
      </w:r>
    </w:p>
    <w:p w14:paraId="7FA51CE6" w14:textId="7C52AFBE" w:rsidR="00A12981" w:rsidRDefault="00A12981" w:rsidP="00A12981"/>
    <w:p w14:paraId="5D2FB0E1" w14:textId="4F4ECA9A" w:rsidR="00A12981" w:rsidRPr="00A12981" w:rsidRDefault="00A12981" w:rsidP="00A12981">
      <w:pPr>
        <w:rPr>
          <w:i/>
          <w:iCs/>
        </w:rPr>
      </w:pPr>
      <w:r w:rsidRPr="00A12981">
        <w:rPr>
          <w:i/>
          <w:iCs/>
        </w:rPr>
        <w:t>Papier des questions réponses (aide-mémoire).</w:t>
      </w:r>
    </w:p>
    <w:p w14:paraId="18A0A6A4" w14:textId="417F103B" w:rsidR="00A12981" w:rsidRPr="00A12981" w:rsidRDefault="00A12981" w:rsidP="00A12981">
      <w:pPr>
        <w:rPr>
          <w:i/>
          <w:iCs/>
        </w:rPr>
      </w:pPr>
      <w:r w:rsidRPr="00A12981">
        <w:rPr>
          <w:i/>
          <w:iCs/>
        </w:rPr>
        <w:t>1°) Dans le minibar d’une chambre d’hôtel : les boissons alcooliques seront taxées au taux normal de 20%. Tout le reste, à savoir boissons et cacahuètes seront taxées à 10%.</w:t>
      </w:r>
    </w:p>
    <w:p w14:paraId="4C8EB7D7" w14:textId="429E7C54" w:rsidR="00A12981" w:rsidRPr="00A12981" w:rsidRDefault="00A12981" w:rsidP="00A12981">
      <w:pPr>
        <w:rPr>
          <w:i/>
          <w:iCs/>
        </w:rPr>
      </w:pPr>
      <w:r w:rsidRPr="00A12981">
        <w:rPr>
          <w:i/>
          <w:iCs/>
        </w:rPr>
        <w:t xml:space="preserve">2°) Si j’achète du chocolat de luxe, je payerai une TVA à 20%. Mais si je prends du chocolat noir de ménage, il ne sera qu’à 5,5% car c’est considéré comme un produit de base. En revanche, dès que j’achète des plaques de chocolat au lait, des plaques de chocolat blanc ou du chocolat fourré, le taux de TVA redeviendra le taux normal de 20%. Mais si le conditionnement est plus ordinaire et que je trouve du chocolat au lait de ménage, le taux redescendra à 5,5%. Dans ce cas, la composition sera règlementée et sera surveillée par les services de la DGCCRF. </w:t>
      </w:r>
    </w:p>
    <w:p w14:paraId="2FCE541A" w14:textId="551474A3" w:rsidR="00A12981" w:rsidRPr="00A12981" w:rsidRDefault="00A12981" w:rsidP="00A12981">
      <w:pPr>
        <w:rPr>
          <w:i/>
          <w:iCs/>
        </w:rPr>
      </w:pPr>
      <w:r w:rsidRPr="00A12981">
        <w:rPr>
          <w:i/>
          <w:iCs/>
        </w:rPr>
        <w:t xml:space="preserve">3°) Les contrats de distribution d’électricité et gaz : Les abonnements sont considérés comme une nécessité donc le taux sera le taux réduit de 5,5%. En revanche, la fourniture d’énergie sera taxée à 20% ce qui fait rapidement monter la facture. </w:t>
      </w:r>
    </w:p>
    <w:p w14:paraId="72A57A8E" w14:textId="7418D806" w:rsidR="00A12981" w:rsidRPr="00A12981" w:rsidRDefault="00A12981" w:rsidP="00A12981">
      <w:pPr>
        <w:rPr>
          <w:i/>
          <w:iCs/>
        </w:rPr>
      </w:pPr>
      <w:r w:rsidRPr="00A12981">
        <w:rPr>
          <w:i/>
          <w:iCs/>
        </w:rPr>
        <w:t xml:space="preserve">4°) Pour les spectacles, on trouvera des taux différents : Pour la billetterie des spectacles nouveaux, le taux applicable aux 140 premières représentations est de 2,10%. En revanche pour les autres spectacles vivants et le cinéma, ce sera 5,5%. </w:t>
      </w:r>
      <w:r w:rsidR="00944FC9">
        <w:rPr>
          <w:i/>
          <w:iCs/>
        </w:rPr>
        <w:t>Pour les spectacles nouveaux, dès la 141</w:t>
      </w:r>
      <w:r w:rsidR="00944FC9" w:rsidRPr="00944FC9">
        <w:rPr>
          <w:i/>
          <w:iCs/>
          <w:vertAlign w:val="superscript"/>
        </w:rPr>
        <w:t>ème</w:t>
      </w:r>
      <w:r w:rsidR="00944FC9">
        <w:rPr>
          <w:i/>
          <w:iCs/>
        </w:rPr>
        <w:t xml:space="preserve"> place, le taux de 5,5% s’appliquera.</w:t>
      </w:r>
    </w:p>
    <w:p w14:paraId="4072BFCA" w14:textId="7349C495" w:rsidR="00A12981" w:rsidRPr="00A12981" w:rsidRDefault="00A12981" w:rsidP="00A12981">
      <w:pPr>
        <w:rPr>
          <w:i/>
          <w:iCs/>
        </w:rPr>
      </w:pPr>
      <w:r w:rsidRPr="00A12981">
        <w:rPr>
          <w:i/>
          <w:iCs/>
        </w:rPr>
        <w:t>5°) Pour les produits alimentaires consommés sur place comme dans un restaurant, le taux sera de 10%. En revanche, si c’est à emporter, le taux de TVA ne sera qu’à 5,5%. Le prix répercuté sur le client sera-t-il différent ? non mais le gain pour l’entreprise le sera.</w:t>
      </w:r>
    </w:p>
    <w:p w14:paraId="0E5368E4" w14:textId="4DA8D994" w:rsidR="00697041" w:rsidRDefault="00A12981" w:rsidP="00A12981">
      <w:pPr>
        <w:rPr>
          <w:i/>
          <w:iCs/>
        </w:rPr>
      </w:pPr>
      <w:r w:rsidRPr="00A12981">
        <w:rPr>
          <w:i/>
          <w:iCs/>
        </w:rPr>
        <w:t>6°) Pour les médicaments : S’il s’agit de médicaments remboursables par la sécurité sociale, le taux sera le taux super-réduit de 2,1%. En effet, la TVA étant remboursée par la sécurité sociale, on ne veut pas que cela lui coûte trop cher. En revanche, si le médicament n’est pas remboursable, on peut y aller car c’est le consommateur qui payera et ce sera carrément 10%. En général, les médicaments non remboursables se vendent très bien, donc la TVA rentre bien dans les caisses de l’État.</w:t>
      </w:r>
    </w:p>
    <w:p w14:paraId="61AFE2D2" w14:textId="470566C9" w:rsidR="00B61764" w:rsidRDefault="00B61764" w:rsidP="00A12981">
      <w:pPr>
        <w:rPr>
          <w:i/>
          <w:iCs/>
        </w:rPr>
      </w:pPr>
      <w:r>
        <w:rPr>
          <w:i/>
          <w:iCs/>
        </w:rPr>
        <w:t>7°) Pour les protections hygiéniques féminines, le taux est de 5,5% de même que pour les préservatifs masculins et féminins.</w:t>
      </w:r>
    </w:p>
    <w:p w14:paraId="64AC6955" w14:textId="77777777" w:rsidR="00697041" w:rsidRPr="00697041" w:rsidRDefault="00697041" w:rsidP="00A12981">
      <w:pPr>
        <w:rPr>
          <w:i/>
          <w:iCs/>
        </w:rPr>
      </w:pPr>
    </w:p>
    <w:p w14:paraId="0E34420F" w14:textId="77777777" w:rsidR="004D665E" w:rsidRDefault="004D665E" w:rsidP="00A12981"/>
    <w:p w14:paraId="3EF6BD5D" w14:textId="5611992A" w:rsidR="003B592E" w:rsidRDefault="00A12981" w:rsidP="003B592E">
      <w:pPr>
        <w:pStyle w:val="Remarque"/>
      </w:pPr>
      <w:r>
        <w:t>La D</w:t>
      </w:r>
      <w:r w:rsidR="003B592E">
        <w:t>irection général</w:t>
      </w:r>
      <w:r>
        <w:t xml:space="preserve"> </w:t>
      </w:r>
      <w:r w:rsidR="003B592E">
        <w:t>du t</w:t>
      </w:r>
      <w:r>
        <w:t>résor</w:t>
      </w:r>
      <w:r w:rsidR="003B592E">
        <w:t xml:space="preserve"> public</w:t>
      </w:r>
      <w:r>
        <w:t xml:space="preserve"> a calculé ce que rapporte la TVA par taux. Naturellement, c’est la TVA au taux normal qui rapporte le plus puisque c’est elle qui porte sur l’assiette la plus large avec le taux le plus élevé : 84,2% du produit total de la TVA. </w:t>
      </w:r>
    </w:p>
    <w:p w14:paraId="3622A801" w14:textId="162AC9BC" w:rsidR="00A12981" w:rsidRDefault="00A12981" w:rsidP="003B592E">
      <w:pPr>
        <w:pStyle w:val="Remarque"/>
      </w:pPr>
      <w:r>
        <w:t xml:space="preserve">Le reste du </w:t>
      </w:r>
      <w:r w:rsidRPr="003B592E">
        <w:t>rendement</w:t>
      </w:r>
      <w:r>
        <w:t xml:space="preserve"> provient des 3 autres taux plus petits, à savoir 15,8% du produit total. Ce produit résultant des autres taux est réparti comme suit :</w:t>
      </w:r>
      <w:r w:rsidR="003B592E">
        <w:br/>
      </w:r>
      <w:r>
        <w:t xml:space="preserve">Le </w:t>
      </w:r>
      <w:r w:rsidRPr="003B592E">
        <w:t>taux</w:t>
      </w:r>
      <w:r>
        <w:t xml:space="preserve"> intermédiaire de 10% rapporte 8% du produit total.</w:t>
      </w:r>
      <w:r w:rsidR="003B592E">
        <w:br/>
      </w:r>
      <w:r>
        <w:t>Le taux réduit de 5,5% rapporte 6,8% du produit total.</w:t>
      </w:r>
      <w:r w:rsidR="003B592E">
        <w:br/>
      </w:r>
      <w:r>
        <w:t xml:space="preserve">Et le taux super-réduit de 2,1% rapporte </w:t>
      </w:r>
      <w:r w:rsidR="009B70BD">
        <w:t xml:space="preserve">à peine </w:t>
      </w:r>
      <w:r>
        <w:t>1% du produit total.</w:t>
      </w:r>
    </w:p>
    <w:p w14:paraId="7A92CC00" w14:textId="00A942C7" w:rsidR="00A12981" w:rsidRDefault="004D665E" w:rsidP="00A12981">
      <w:r>
        <w:rPr>
          <w:noProof/>
        </w:rPr>
        <w:lastRenderedPageBreak/>
        <w:drawing>
          <wp:inline distT="0" distB="0" distL="0" distR="0" wp14:anchorId="78738FA6" wp14:editId="15B5EEEC">
            <wp:extent cx="5760720" cy="4319905"/>
            <wp:effectExtent l="0" t="0" r="508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4319905"/>
                    </a:xfrm>
                    <a:prstGeom prst="rect">
                      <a:avLst/>
                    </a:prstGeom>
                  </pic:spPr>
                </pic:pic>
              </a:graphicData>
            </a:graphic>
          </wp:inline>
        </w:drawing>
      </w:r>
    </w:p>
    <w:p w14:paraId="6FA3B9A1" w14:textId="2D09DE1C" w:rsidR="004D665E" w:rsidRDefault="004D665E" w:rsidP="00A12981"/>
    <w:p w14:paraId="3EC5F91C" w14:textId="5885222C" w:rsidR="00583F39" w:rsidRDefault="00583F39" w:rsidP="00583F39">
      <w:pPr>
        <w:pStyle w:val="Titre5"/>
      </w:pPr>
      <w:r>
        <w:t>IMAGE 3545</w:t>
      </w:r>
    </w:p>
    <w:p w14:paraId="4BF27120" w14:textId="1D784404" w:rsidR="00583F39" w:rsidRDefault="00583F39" w:rsidP="00583F39">
      <w:pPr>
        <w:jc w:val="both"/>
      </w:pPr>
      <w:r>
        <w:t xml:space="preserve">Dessin d’Albert DUBOUT, extrait du magnifique ouvrage : </w:t>
      </w:r>
      <w:r w:rsidRPr="001A603E">
        <w:rPr>
          <w:i/>
          <w:iCs/>
        </w:rPr>
        <w:t>Code des impôts</w:t>
      </w:r>
      <w:r>
        <w:t>, éditions Michèle TRINCKVEL, 1993, pages 108-109. Ce dessin montre comment le caricaturiste se représente l’ambiance de travail dans les services fiscaux. En réalité, le travail des services financiers se fait dans un cadre très sérieux et professionnel.</w:t>
      </w:r>
    </w:p>
    <w:p w14:paraId="6E9AAC04" w14:textId="77777777" w:rsidR="00583F39" w:rsidRDefault="00583F39" w:rsidP="00A12981"/>
    <w:p w14:paraId="03FECD18" w14:textId="05D6E6EF" w:rsidR="004D665E" w:rsidRDefault="004D665E">
      <w:r>
        <w:br w:type="page"/>
      </w:r>
    </w:p>
    <w:p w14:paraId="20661C1E" w14:textId="77777777" w:rsidR="004D665E" w:rsidRDefault="004D665E" w:rsidP="00A12981"/>
    <w:p w14:paraId="2FBFBC39" w14:textId="603012CF" w:rsidR="00A12981" w:rsidRDefault="00A12981" w:rsidP="00A12981">
      <w:pPr>
        <w:pStyle w:val="Titre1"/>
      </w:pPr>
      <w:r>
        <w:t xml:space="preserve">Section 3. Le calcul et le recouvrement </w:t>
      </w:r>
    </w:p>
    <w:p w14:paraId="2F4E76F0" w14:textId="7035AE59" w:rsidR="00A12981" w:rsidRDefault="00A12981" w:rsidP="00A12981"/>
    <w:p w14:paraId="566E9261" w14:textId="756FDB73" w:rsidR="00A12981" w:rsidRDefault="00A12981" w:rsidP="00A12981">
      <w:pPr>
        <w:pStyle w:val="Titre2"/>
      </w:pPr>
      <w:r>
        <w:t xml:space="preserve">§1. Le schéma général </w:t>
      </w:r>
    </w:p>
    <w:p w14:paraId="5F42B074" w14:textId="1C783EB7" w:rsidR="00A12981" w:rsidRDefault="00A12981" w:rsidP="00A12981"/>
    <w:p w14:paraId="5BD41E3F" w14:textId="12C8F15D" w:rsidR="00B82B6D" w:rsidRPr="00AF46A1" w:rsidRDefault="00AF46A1" w:rsidP="00A12981">
      <w:pPr>
        <w:jc w:val="both"/>
      </w:pPr>
      <w:r>
        <w:rPr>
          <w:noProof/>
        </w:rPr>
        <w:drawing>
          <wp:inline distT="0" distB="0" distL="0" distR="0" wp14:anchorId="5936EC9D" wp14:editId="44CF04FB">
            <wp:extent cx="5760720" cy="3189605"/>
            <wp:effectExtent l="0" t="0" r="0" b="0"/>
            <wp:docPr id="2" name="Image 2" descr="Une image contenant équipement électronique, calculatr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équipement électronique, calculatrice&#10;&#10;Description générée automatiquemen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3189605"/>
                    </a:xfrm>
                    <a:prstGeom prst="rect">
                      <a:avLst/>
                    </a:prstGeom>
                  </pic:spPr>
                </pic:pic>
              </a:graphicData>
            </a:graphic>
          </wp:inline>
        </w:drawing>
      </w:r>
    </w:p>
    <w:p w14:paraId="23B5EA6B" w14:textId="35445102" w:rsidR="00A12981" w:rsidRDefault="00A12981" w:rsidP="00A12981">
      <w:pPr>
        <w:pStyle w:val="Titre2"/>
      </w:pPr>
      <w:r>
        <w:t xml:space="preserve">§2. Les 3 systèmes de déclaration de la TVA </w:t>
      </w:r>
    </w:p>
    <w:p w14:paraId="18E480C3" w14:textId="169DC28A" w:rsidR="00A12981" w:rsidRDefault="00A12981" w:rsidP="00A12981"/>
    <w:p w14:paraId="3D3CF589" w14:textId="6D504333" w:rsidR="00A12981" w:rsidRDefault="00A12981" w:rsidP="00A12981">
      <w:pPr>
        <w:pStyle w:val="Titre3"/>
      </w:pPr>
      <w:r>
        <w:t xml:space="preserve">A. Le régime </w:t>
      </w:r>
      <w:r w:rsidRPr="00A12981">
        <w:t>normal</w:t>
      </w:r>
      <w:r>
        <w:t xml:space="preserve"> </w:t>
      </w:r>
    </w:p>
    <w:p w14:paraId="3B2EE9AC" w14:textId="3398912B" w:rsidR="00A12981" w:rsidRDefault="00A12981" w:rsidP="00A12981"/>
    <w:p w14:paraId="2AB4BEDC" w14:textId="77777777" w:rsidR="005C4032" w:rsidRDefault="00A12981" w:rsidP="00A12981">
      <w:r>
        <w:t>Le régime normal est celui de la déclaration mensuelle</w:t>
      </w:r>
      <w:r w:rsidR="00166D88">
        <w:t xml:space="preserve">, exposé à </w:t>
      </w:r>
      <w:hyperlink r:id="rId56" w:history="1">
        <w:r w:rsidR="00166D88" w:rsidRPr="00166D88">
          <w:rPr>
            <w:rStyle w:val="Lienhypertexte"/>
          </w:rPr>
          <w:t>l’article 287, 2 du CGI</w:t>
        </w:r>
      </w:hyperlink>
      <w:r w:rsidR="007F52BA">
        <w:t xml:space="preserve">, </w:t>
      </w:r>
      <w:r w:rsidR="00166D88">
        <w:t xml:space="preserve">excepté </w:t>
      </w:r>
      <w:r>
        <w:t>si la TVA exigible est inférieure à 4 000 € par an dans ce cas, la déclaration est trimestriell</w:t>
      </w:r>
      <w:r w:rsidR="005C4032">
        <w:t xml:space="preserve">e. </w:t>
      </w:r>
    </w:p>
    <w:p w14:paraId="1E5C2E2C" w14:textId="3933AFBC" w:rsidR="00A12981" w:rsidRDefault="005C4032" w:rsidP="00A12981">
      <w:r>
        <w:t xml:space="preserve">Cette exception </w:t>
      </w:r>
      <w:r w:rsidR="00754378">
        <w:t>concern</w:t>
      </w:r>
      <w:r>
        <w:t>e plus particulièrement l</w:t>
      </w:r>
      <w:r w:rsidR="00754378">
        <w:t>es redevables placés sous le régime simplifié d’imposition prévu à</w:t>
      </w:r>
      <w:r w:rsidR="00440EE5">
        <w:t xml:space="preserve"> </w:t>
      </w:r>
      <w:hyperlink r:id="rId57" w:history="1">
        <w:r w:rsidR="00440EE5" w:rsidRPr="00440EE5">
          <w:rPr>
            <w:rStyle w:val="Lienhypertexte"/>
          </w:rPr>
          <w:t>l’article L. 162-1 du Code des impositions sur les biens et services</w:t>
        </w:r>
      </w:hyperlink>
      <w:r w:rsidR="00440EE5">
        <w:t xml:space="preserve"> </w:t>
      </w:r>
      <w:r>
        <w:t xml:space="preserve">sur renvoi de </w:t>
      </w:r>
      <w:hyperlink r:id="rId58" w:history="1">
        <w:r w:rsidR="00754378" w:rsidRPr="00754378">
          <w:rPr>
            <w:rStyle w:val="Lienhypertexte"/>
          </w:rPr>
          <w:t xml:space="preserve">l’article </w:t>
        </w:r>
        <w:r w:rsidR="00A12981" w:rsidRPr="00754378">
          <w:rPr>
            <w:rStyle w:val="Lienhypertexte"/>
          </w:rPr>
          <w:t>302 septies</w:t>
        </w:r>
        <w:r w:rsidR="00754378" w:rsidRPr="00754378">
          <w:rPr>
            <w:rStyle w:val="Lienhypertexte"/>
          </w:rPr>
          <w:t xml:space="preserve"> A</w:t>
        </w:r>
        <w:r w:rsidR="00A12981" w:rsidRPr="00754378">
          <w:rPr>
            <w:rStyle w:val="Lienhypertexte"/>
          </w:rPr>
          <w:t xml:space="preserve"> du CGI</w:t>
        </w:r>
      </w:hyperlink>
      <w:r w:rsidR="0068739C">
        <w:t xml:space="preserve"> qui établissait la liste des personnes concernées avant la réforme par l’ordonnance du 22 décembre 2022, venant créer ce nouveau Code. </w:t>
      </w:r>
    </w:p>
    <w:p w14:paraId="50E17234" w14:textId="77777777" w:rsidR="00A12981" w:rsidRDefault="00A12981" w:rsidP="00A12981"/>
    <w:p w14:paraId="70A9376D" w14:textId="7717805E" w:rsidR="00A12981" w:rsidRDefault="00A12981" w:rsidP="00A12981">
      <w:pPr>
        <w:pStyle w:val="Titre3"/>
      </w:pPr>
      <w:r>
        <w:t xml:space="preserve">B. Le régime réel simplifié </w:t>
      </w:r>
    </w:p>
    <w:p w14:paraId="518789C7" w14:textId="73E72355" w:rsidR="00A12981" w:rsidRDefault="00A12981" w:rsidP="00A12981"/>
    <w:p w14:paraId="00D256BC" w14:textId="77777777" w:rsidR="00A12981" w:rsidRDefault="00A12981" w:rsidP="00A12981">
      <w:r>
        <w:t xml:space="preserve">Le régime réel simplifié repose sur une seule déclaration annuelle. La déclaration se fait avant le 30 avril. Pour bénéficier de ce régime, la TVA nette de l’année précédente ne doit pas dépasser 15 000 euros. </w:t>
      </w:r>
    </w:p>
    <w:p w14:paraId="20561B9A" w14:textId="3364A6BD" w:rsidR="00A12981" w:rsidRDefault="00A12981" w:rsidP="00A12981">
      <w:r>
        <w:t>Ce sont les mêmes articles du CGI qui régissent ce régime.</w:t>
      </w:r>
    </w:p>
    <w:p w14:paraId="375D5FE7" w14:textId="1434E016" w:rsidR="00A12981" w:rsidRDefault="00A12981" w:rsidP="00A12981"/>
    <w:p w14:paraId="4B856430" w14:textId="52A89777" w:rsidR="00A12981" w:rsidRDefault="00A12981" w:rsidP="00A12981">
      <w:pPr>
        <w:pStyle w:val="Titre3"/>
      </w:pPr>
      <w:r>
        <w:lastRenderedPageBreak/>
        <w:t xml:space="preserve">C. Le régime de franchise en base </w:t>
      </w:r>
    </w:p>
    <w:p w14:paraId="28C796CF" w14:textId="0BF1503B" w:rsidR="00A12981" w:rsidRDefault="00A12981" w:rsidP="00A12981"/>
    <w:p w14:paraId="05436A0B" w14:textId="63E7B335" w:rsidR="00A12981" w:rsidRDefault="00A12981" w:rsidP="00A12981">
      <w:r>
        <w:t xml:space="preserve">Le régime de franchise en base : </w:t>
      </w:r>
      <w:r w:rsidRPr="00754378">
        <w:rPr>
          <w:strike/>
        </w:rPr>
        <w:t>Nous l’avons déjà vu dans le chapitre 1</w:t>
      </w:r>
      <w:r w:rsidRPr="00754378">
        <w:rPr>
          <w:strike/>
          <w:vertAlign w:val="superscript"/>
        </w:rPr>
        <w:t>er</w:t>
      </w:r>
      <w:r>
        <w:t>.</w:t>
      </w:r>
    </w:p>
    <w:p w14:paraId="4AD2EB7E" w14:textId="1295FDDB" w:rsidR="00754378" w:rsidRDefault="00754378" w:rsidP="00A12981">
      <w:r>
        <w:t xml:space="preserve">C’est une </w:t>
      </w:r>
      <w:r w:rsidRPr="001F474B">
        <w:rPr>
          <w:b/>
          <w:bCs/>
          <w:color w:val="832C6B"/>
        </w:rPr>
        <w:t>limitation de l’assiette</w:t>
      </w:r>
      <w:r>
        <w:t xml:space="preserve">. Il s’agit d’un mécanisme d’exonération qui peut toucher des entreprises nouvelles ou des activités qui restent en dessous d’un seuil fixé par la Loi. </w:t>
      </w:r>
    </w:p>
    <w:p w14:paraId="1F3870A9" w14:textId="5A33FB02" w:rsidR="00754378" w:rsidRDefault="00754378" w:rsidP="00A12981">
      <w:r>
        <w:t xml:space="preserve">Les entreprises soumises à la TVA bénéficient de ce régime lorsque leurs activités ont été inférieures à un seuil fixé par le CGI. </w:t>
      </w:r>
    </w:p>
    <w:p w14:paraId="17315BB6" w14:textId="0036B1A8" w:rsidR="00754378" w:rsidRDefault="00754378" w:rsidP="00A12981">
      <w:r w:rsidRPr="00754378">
        <w:rPr>
          <w:b/>
          <w:bCs/>
          <w:color w:val="832C6B"/>
        </w:rPr>
        <w:t>Je vous renvoie au §3 de la première section pour les seuils fixés par le CGI qui ont été détaillés</w:t>
      </w:r>
      <w:r>
        <w:t xml:space="preserve">. </w:t>
      </w:r>
    </w:p>
    <w:p w14:paraId="388F8E61" w14:textId="77777777" w:rsidR="00754378" w:rsidRDefault="00754378" w:rsidP="00A12981"/>
    <w:p w14:paraId="17689F86" w14:textId="0348E62F" w:rsidR="00A12981" w:rsidRDefault="00A12981" w:rsidP="00A12981">
      <w:pPr>
        <w:pStyle w:val="Titre2"/>
      </w:pPr>
      <w:r>
        <w:t xml:space="preserve">§3. Le paiement de la TVA </w:t>
      </w:r>
    </w:p>
    <w:p w14:paraId="1EB34955" w14:textId="2D53E1EF" w:rsidR="00A12981" w:rsidRDefault="00A12981" w:rsidP="00A12981"/>
    <w:p w14:paraId="060F5862" w14:textId="6395D7AA" w:rsidR="00A12981" w:rsidRDefault="00A12981" w:rsidP="00A12981">
      <w:pPr>
        <w:pStyle w:val="Titre3"/>
      </w:pPr>
      <w:r>
        <w:t xml:space="preserve">A. Le </w:t>
      </w:r>
      <w:r w:rsidRPr="00A12981">
        <w:t>régime</w:t>
      </w:r>
      <w:r>
        <w:t xml:space="preserve"> de droit commun </w:t>
      </w:r>
    </w:p>
    <w:p w14:paraId="067F91F8" w14:textId="77777777" w:rsidR="00A12981" w:rsidRDefault="00A12981" w:rsidP="00A12981"/>
    <w:p w14:paraId="5632B4B3" w14:textId="5104FBDC" w:rsidR="00A12981" w:rsidRDefault="00A12981" w:rsidP="00A12981">
      <w:r>
        <w:t xml:space="preserve">Le paiement se fait </w:t>
      </w:r>
      <w:r w:rsidRPr="00740B2D">
        <w:rPr>
          <w:b/>
          <w:bCs/>
          <w:color w:val="832C6A"/>
        </w:rPr>
        <w:t>mensuellement</w:t>
      </w:r>
      <w:r w:rsidRPr="00740B2D">
        <w:rPr>
          <w:color w:val="832C6A"/>
        </w:rPr>
        <w:t xml:space="preserve"> </w:t>
      </w:r>
      <w:r>
        <w:t>ou</w:t>
      </w:r>
      <w:r w:rsidR="00894AE2">
        <w:t xml:space="preserve"> dans </w:t>
      </w:r>
      <w:r w:rsidR="00894AE2" w:rsidRPr="00740B2D">
        <w:rPr>
          <w:b/>
          <w:bCs/>
          <w:color w:val="832C6A"/>
        </w:rPr>
        <w:t>certains cas</w:t>
      </w:r>
      <w:r w:rsidRPr="00740B2D">
        <w:rPr>
          <w:b/>
          <w:bCs/>
          <w:color w:val="832C6A"/>
        </w:rPr>
        <w:t xml:space="preserve"> trimestriellement</w:t>
      </w:r>
      <w:r w:rsidRPr="00740B2D">
        <w:rPr>
          <w:color w:val="832C6A"/>
        </w:rPr>
        <w:t xml:space="preserve"> </w:t>
      </w:r>
      <w:r>
        <w:t>pour le régime normal</w:t>
      </w:r>
      <w:r w:rsidR="00894AE2">
        <w:t xml:space="preserve"> concernant les opérations réalisées au cours du mois. </w:t>
      </w:r>
      <w:r>
        <w:t>Pour le régime réel simplifié, 4 acomptes avec une régularisation.</w:t>
      </w:r>
      <w:r w:rsidR="00894AE2">
        <w:t xml:space="preserve"> </w:t>
      </w:r>
    </w:p>
    <w:p w14:paraId="48C3D8ED" w14:textId="77777777" w:rsidR="00A12981" w:rsidRDefault="00A12981" w:rsidP="00A12981"/>
    <w:p w14:paraId="5901830E" w14:textId="77777777" w:rsidR="00A12981" w:rsidRDefault="00A12981" w:rsidP="00A12981">
      <w:pPr>
        <w:pStyle w:val="Titre3"/>
      </w:pPr>
      <w:r>
        <w:t xml:space="preserve">B. Le régime </w:t>
      </w:r>
      <w:r w:rsidRPr="00A12981">
        <w:t>optionnel</w:t>
      </w:r>
    </w:p>
    <w:p w14:paraId="6DE0CC4B" w14:textId="2A0D84E8" w:rsidR="00A12981" w:rsidRDefault="00A12981" w:rsidP="00A12981">
      <w:r>
        <w:t xml:space="preserve"> </w:t>
      </w:r>
    </w:p>
    <w:p w14:paraId="0207E18D" w14:textId="12AED8A8" w:rsidR="00A12981" w:rsidRDefault="00A12981" w:rsidP="00A12981">
      <w:r>
        <w:t>Le régime optionnel de paiement au sein d’un groupe de sociétés</w:t>
      </w:r>
      <w:r w:rsidR="00754378">
        <w:t xml:space="preserve"> </w:t>
      </w:r>
      <w:r>
        <w:t>a été mis en place par la LFR pour 201</w:t>
      </w:r>
      <w:r w:rsidR="00F2671A">
        <w:t xml:space="preserve">0 et est aujourd’hui exposé à </w:t>
      </w:r>
      <w:hyperlink r:id="rId59" w:history="1">
        <w:r w:rsidR="00F2671A" w:rsidRPr="00F2671A">
          <w:rPr>
            <w:rStyle w:val="Lienhypertexte"/>
          </w:rPr>
          <w:t>l’article 1693 ter du CGI</w:t>
        </w:r>
      </w:hyperlink>
      <w:r w:rsidR="00F2671A">
        <w:t>.</w:t>
      </w:r>
      <w:r w:rsidR="008C2848">
        <w:t xml:space="preserve"> Il faut remplir certaines conditions pour les groupes de sociétés, mais s’ils les remplissent, ils peuvent opter pour la centralisation du paiement de la TVA et des taxes assimilées. </w:t>
      </w:r>
      <w:r>
        <w:t>Les groupes sont rattachés à la Direction des Grandes Entreprise</w:t>
      </w:r>
      <w:r w:rsidR="00754378">
        <w:t>s</w:t>
      </w:r>
      <w:r w:rsidR="00021E9B">
        <w:t xml:space="preserve"> (DGE)</w:t>
      </w:r>
      <w:r w:rsidR="00754378">
        <w:t>, c</w:t>
      </w:r>
      <w:r>
        <w:t xml:space="preserve">’est une option qui simplifie le travail de l’entreprise et de l’administration. </w:t>
      </w:r>
    </w:p>
    <w:p w14:paraId="05E1CF31" w14:textId="4C86F9D2" w:rsidR="008C2848" w:rsidRDefault="008C2848" w:rsidP="008C2848">
      <w:pPr>
        <w:pStyle w:val="Titreensavoirplus"/>
      </w:pPr>
      <w:r>
        <w:t xml:space="preserve">Les groupes de sociétés concernés </w:t>
      </w:r>
    </w:p>
    <w:p w14:paraId="712ACD7F" w14:textId="5762E2D2" w:rsidR="008C2848" w:rsidRDefault="008C2848" w:rsidP="008C2848">
      <w:pPr>
        <w:pStyle w:val="Ensavoirplus"/>
      </w:pPr>
      <w:r>
        <w:t xml:space="preserve">Pour pouvoir opter, les groupes de sociétés doivent remplir les conditions suivantes : </w:t>
      </w:r>
    </w:p>
    <w:p w14:paraId="07A464F0" w14:textId="5406CD93" w:rsidR="008C2848" w:rsidRDefault="008C2848" w:rsidP="008C2848">
      <w:pPr>
        <w:pStyle w:val="Ensavoirplus"/>
      </w:pPr>
      <w:r>
        <w:t xml:space="preserve">- La société tête de groupe doit </w:t>
      </w:r>
      <w:r w:rsidRPr="00C9159D">
        <w:rPr>
          <w:b/>
          <w:bCs/>
          <w:color w:val="832C6A"/>
        </w:rPr>
        <w:t>détenir</w:t>
      </w:r>
      <w:r w:rsidR="00F2671A">
        <w:t xml:space="preserve">, </w:t>
      </w:r>
      <w:r w:rsidR="00F2671A" w:rsidRPr="00C9159D">
        <w:rPr>
          <w:u w:val="single"/>
        </w:rPr>
        <w:t>directement ou indirectement</w:t>
      </w:r>
      <w:r w:rsidR="00F2671A">
        <w:t xml:space="preserve">, plus de </w:t>
      </w:r>
      <w:r w:rsidR="00F2671A" w:rsidRPr="00C9159D">
        <w:rPr>
          <w:b/>
          <w:bCs/>
          <w:color w:val="832C6A"/>
        </w:rPr>
        <w:t>50% du capital</w:t>
      </w:r>
      <w:r w:rsidR="00F2671A" w:rsidRPr="00C9159D">
        <w:rPr>
          <w:color w:val="832C6A"/>
        </w:rPr>
        <w:t xml:space="preserve"> </w:t>
      </w:r>
      <w:r w:rsidR="00F2671A">
        <w:t xml:space="preserve">ou des droits de vote des filiales. </w:t>
      </w:r>
    </w:p>
    <w:p w14:paraId="240955D3" w14:textId="42087235" w:rsidR="00F2671A" w:rsidRPr="008C2848" w:rsidRDefault="00F2671A" w:rsidP="008C2848">
      <w:pPr>
        <w:pStyle w:val="Ensavoirplus"/>
      </w:pPr>
      <w:r>
        <w:t xml:space="preserve">- Les membres du groupe doivent, d’une part, relever de la Direction des Grandes Entreprises (DGE), et d’autre part, </w:t>
      </w:r>
      <w:r w:rsidRPr="00C9159D">
        <w:rPr>
          <w:b/>
          <w:bCs/>
        </w:rPr>
        <w:t>ouvrir et clôturer leurs exercices comptables aux mêmes dates</w:t>
      </w:r>
      <w:r>
        <w:t xml:space="preserve">, et enfin, relever du régime réel normal d’impositions en matière de TVA. </w:t>
      </w:r>
    </w:p>
    <w:p w14:paraId="67E11FD8" w14:textId="428F966F" w:rsidR="00A12981" w:rsidRDefault="00A12981" w:rsidP="00A12981"/>
    <w:p w14:paraId="198AE88F" w14:textId="4D1B6DCE" w:rsidR="00A12981" w:rsidRDefault="00A12981" w:rsidP="00A12981">
      <w:pPr>
        <w:pStyle w:val="Titre1"/>
      </w:pPr>
      <w:r>
        <w:t xml:space="preserve">Section 4. </w:t>
      </w:r>
      <w:r w:rsidRPr="00A12981">
        <w:t>Conclusion</w:t>
      </w:r>
      <w:r>
        <w:t xml:space="preserve"> </w:t>
      </w:r>
    </w:p>
    <w:p w14:paraId="30505A47" w14:textId="680D8296" w:rsidR="00A12981" w:rsidRDefault="00A12981" w:rsidP="00A12981"/>
    <w:p w14:paraId="69579213" w14:textId="0B33DDE4" w:rsidR="00A12981" w:rsidRDefault="00A12981" w:rsidP="00A12981">
      <w:pPr>
        <w:pStyle w:val="Titre2"/>
      </w:pPr>
      <w:r>
        <w:t xml:space="preserve">§1. Le partage de la TVA </w:t>
      </w:r>
    </w:p>
    <w:p w14:paraId="5FD42E45" w14:textId="6A0000FA" w:rsidR="00A12981" w:rsidRDefault="00A12981" w:rsidP="00A12981"/>
    <w:p w14:paraId="1C2FE087" w14:textId="77777777" w:rsidR="00A12981" w:rsidRDefault="00A12981" w:rsidP="00A12981">
      <w:r>
        <w:lastRenderedPageBreak/>
        <w:t>Le produit de la TVA n’est pas monopolisé par l’État</w:t>
      </w:r>
    </w:p>
    <w:p w14:paraId="73C55945" w14:textId="039465F8" w:rsidR="00A12981" w:rsidRDefault="00A12981" w:rsidP="00A12981">
      <w:r w:rsidRPr="00E0443A">
        <w:rPr>
          <w:b/>
          <w:bCs/>
          <w:color w:val="832C6B"/>
        </w:rPr>
        <w:t>Depuis 2006</w:t>
      </w:r>
      <w:r>
        <w:t>, une fraction du produit de la TVA est affectée à la</w:t>
      </w:r>
      <w:r w:rsidR="00E0443A">
        <w:t xml:space="preserve"> sécurité sociale. </w:t>
      </w:r>
    </w:p>
    <w:p w14:paraId="74FE936D" w14:textId="2602F2DA" w:rsidR="00A12981" w:rsidRDefault="00A12981" w:rsidP="00A12981">
      <w:r w:rsidRPr="00E0443A">
        <w:rPr>
          <w:b/>
          <w:bCs/>
          <w:color w:val="832C6B"/>
        </w:rPr>
        <w:t>Entre 2006 et 2018</w:t>
      </w:r>
      <w:r>
        <w:t>, on était à 8-10 M</w:t>
      </w:r>
      <w:r w:rsidR="00E0443A">
        <w:t>illiards d’euros</w:t>
      </w:r>
      <w:r>
        <w:t xml:space="preserve"> par an.</w:t>
      </w:r>
    </w:p>
    <w:p w14:paraId="656ABFA5" w14:textId="59A5B6B3" w:rsidR="00A12981" w:rsidRDefault="00A12981" w:rsidP="00A12981">
      <w:r w:rsidRPr="00E0443A">
        <w:rPr>
          <w:b/>
          <w:bCs/>
          <w:color w:val="832C6B"/>
        </w:rPr>
        <w:t>En 2019</w:t>
      </w:r>
      <w:r>
        <w:t xml:space="preserve"> on est passés à plus de 40 M</w:t>
      </w:r>
      <w:r w:rsidR="00E0443A">
        <w:t>illiards</w:t>
      </w:r>
      <w:r>
        <w:t xml:space="preserve"> d’euro</w:t>
      </w:r>
      <w:r w:rsidR="00E0443A">
        <w:t xml:space="preserve">s. </w:t>
      </w:r>
    </w:p>
    <w:p w14:paraId="006FBA8D" w14:textId="691301CB" w:rsidR="00A12981" w:rsidRDefault="00A12981" w:rsidP="00A12981">
      <w:r w:rsidRPr="00E0443A">
        <w:rPr>
          <w:b/>
          <w:bCs/>
          <w:color w:val="832C6B"/>
        </w:rPr>
        <w:t>En 2020</w:t>
      </w:r>
      <w:r>
        <w:t>, 50 M</w:t>
      </w:r>
      <w:r w:rsidR="00E0443A">
        <w:t>illiards</w:t>
      </w:r>
      <w:r>
        <w:t xml:space="preserve"> d’euros</w:t>
      </w:r>
      <w:r w:rsidR="00E0443A">
        <w:t>.</w:t>
      </w:r>
    </w:p>
    <w:p w14:paraId="59546533" w14:textId="25F25151" w:rsidR="00A12981" w:rsidRDefault="00A12981" w:rsidP="00A12981">
      <w:r>
        <w:t>On peut voir sur le tableau suivant ce que la TVA a rapporté à l’État au cours des dernières années :</w:t>
      </w:r>
    </w:p>
    <w:tbl>
      <w:tblPr>
        <w:tblStyle w:val="Grilledutableau"/>
        <w:tblW w:w="0" w:type="auto"/>
        <w:tblLook w:val="04A0" w:firstRow="1" w:lastRow="0" w:firstColumn="1" w:lastColumn="0" w:noHBand="0" w:noVBand="1"/>
      </w:tblPr>
      <w:tblGrid>
        <w:gridCol w:w="1288"/>
        <w:gridCol w:w="1275"/>
        <w:gridCol w:w="1276"/>
        <w:gridCol w:w="1276"/>
        <w:gridCol w:w="1276"/>
        <w:gridCol w:w="1279"/>
        <w:gridCol w:w="1276"/>
        <w:gridCol w:w="1248"/>
      </w:tblGrid>
      <w:tr w:rsidR="00E40183" w14:paraId="4D32C0FC" w14:textId="640B844A" w:rsidTr="00E40183">
        <w:tc>
          <w:tcPr>
            <w:tcW w:w="1288" w:type="dxa"/>
            <w:shd w:val="clear" w:color="auto" w:fill="F2F2F2" w:themeFill="background1" w:themeFillShade="F2"/>
          </w:tcPr>
          <w:p w14:paraId="45229739" w14:textId="08781123" w:rsidR="00E40183" w:rsidRDefault="00E40183" w:rsidP="00E0443A">
            <w:pPr>
              <w:tabs>
                <w:tab w:val="left" w:pos="942"/>
              </w:tabs>
            </w:pPr>
            <w:r>
              <w:t>Années</w:t>
            </w:r>
          </w:p>
        </w:tc>
        <w:tc>
          <w:tcPr>
            <w:tcW w:w="1275" w:type="dxa"/>
          </w:tcPr>
          <w:p w14:paraId="5B10320F" w14:textId="52629909" w:rsidR="00E40183" w:rsidRDefault="00E40183" w:rsidP="007339C0">
            <w:pPr>
              <w:jc w:val="center"/>
            </w:pPr>
            <w:r>
              <w:t>2012</w:t>
            </w:r>
          </w:p>
        </w:tc>
        <w:tc>
          <w:tcPr>
            <w:tcW w:w="1276" w:type="dxa"/>
            <w:shd w:val="clear" w:color="auto" w:fill="F2F2F2" w:themeFill="background1" w:themeFillShade="F2"/>
          </w:tcPr>
          <w:p w14:paraId="175D46D0" w14:textId="0F9BF4D5" w:rsidR="00E40183" w:rsidRDefault="00E40183" w:rsidP="007339C0">
            <w:pPr>
              <w:jc w:val="center"/>
            </w:pPr>
            <w:r>
              <w:t>2017</w:t>
            </w:r>
          </w:p>
        </w:tc>
        <w:tc>
          <w:tcPr>
            <w:tcW w:w="1276" w:type="dxa"/>
          </w:tcPr>
          <w:p w14:paraId="70725979" w14:textId="2DDB749C" w:rsidR="00E40183" w:rsidRDefault="00E40183" w:rsidP="007339C0">
            <w:pPr>
              <w:jc w:val="center"/>
            </w:pPr>
            <w:r>
              <w:t>2018</w:t>
            </w:r>
          </w:p>
        </w:tc>
        <w:tc>
          <w:tcPr>
            <w:tcW w:w="1276" w:type="dxa"/>
            <w:shd w:val="clear" w:color="auto" w:fill="F2F2F2" w:themeFill="background1" w:themeFillShade="F2"/>
          </w:tcPr>
          <w:p w14:paraId="6DDF74D6" w14:textId="7EE2E566" w:rsidR="00E40183" w:rsidRDefault="00E40183" w:rsidP="007339C0">
            <w:pPr>
              <w:jc w:val="center"/>
            </w:pPr>
            <w:r>
              <w:t>2019</w:t>
            </w:r>
          </w:p>
        </w:tc>
        <w:tc>
          <w:tcPr>
            <w:tcW w:w="1279" w:type="dxa"/>
          </w:tcPr>
          <w:p w14:paraId="30921594" w14:textId="2861D9DC" w:rsidR="00E40183" w:rsidRDefault="00E40183" w:rsidP="007339C0">
            <w:pPr>
              <w:jc w:val="center"/>
            </w:pPr>
            <w:r>
              <w:t>2020</w:t>
            </w:r>
          </w:p>
        </w:tc>
        <w:tc>
          <w:tcPr>
            <w:tcW w:w="1276" w:type="dxa"/>
            <w:shd w:val="clear" w:color="auto" w:fill="F2F2F2" w:themeFill="background1" w:themeFillShade="F2"/>
          </w:tcPr>
          <w:p w14:paraId="6F528E87" w14:textId="5AEC6997" w:rsidR="00E40183" w:rsidRDefault="00E40183" w:rsidP="007339C0">
            <w:pPr>
              <w:jc w:val="center"/>
            </w:pPr>
            <w:r>
              <w:t>2021</w:t>
            </w:r>
          </w:p>
        </w:tc>
        <w:tc>
          <w:tcPr>
            <w:tcW w:w="1248" w:type="dxa"/>
            <w:shd w:val="clear" w:color="auto" w:fill="F2F2F2" w:themeFill="background1" w:themeFillShade="F2"/>
          </w:tcPr>
          <w:p w14:paraId="28DF05FE" w14:textId="51A1A244" w:rsidR="00E40183" w:rsidRDefault="00E40183" w:rsidP="007339C0">
            <w:pPr>
              <w:jc w:val="center"/>
            </w:pPr>
            <w:r>
              <w:t>2022</w:t>
            </w:r>
          </w:p>
        </w:tc>
      </w:tr>
      <w:tr w:rsidR="00E40183" w14:paraId="2AD514C4" w14:textId="0EF5A576" w:rsidTr="00E40183">
        <w:tc>
          <w:tcPr>
            <w:tcW w:w="1288" w:type="dxa"/>
            <w:shd w:val="clear" w:color="auto" w:fill="F2F2F2" w:themeFill="background1" w:themeFillShade="F2"/>
          </w:tcPr>
          <w:p w14:paraId="2F226BC6" w14:textId="1E19F2E9" w:rsidR="00E40183" w:rsidRDefault="00E40183" w:rsidP="00A12981">
            <w:r>
              <w:t>TVA nette</w:t>
            </w:r>
          </w:p>
        </w:tc>
        <w:tc>
          <w:tcPr>
            <w:tcW w:w="1275" w:type="dxa"/>
          </w:tcPr>
          <w:p w14:paraId="568D57CE" w14:textId="28842EE2" w:rsidR="00E40183" w:rsidRDefault="00E40183" w:rsidP="007339C0">
            <w:pPr>
              <w:jc w:val="center"/>
            </w:pPr>
            <w:r>
              <w:t>133</w:t>
            </w:r>
          </w:p>
        </w:tc>
        <w:tc>
          <w:tcPr>
            <w:tcW w:w="1276" w:type="dxa"/>
            <w:shd w:val="clear" w:color="auto" w:fill="F2F2F2" w:themeFill="background1" w:themeFillShade="F2"/>
          </w:tcPr>
          <w:p w14:paraId="076E619E" w14:textId="554BEBAC" w:rsidR="00E40183" w:rsidRDefault="00E40183" w:rsidP="007339C0">
            <w:pPr>
              <w:jc w:val="center"/>
            </w:pPr>
            <w:r>
              <w:t>152</w:t>
            </w:r>
          </w:p>
        </w:tc>
        <w:tc>
          <w:tcPr>
            <w:tcW w:w="1276" w:type="dxa"/>
          </w:tcPr>
          <w:p w14:paraId="30A38D77" w14:textId="50106469" w:rsidR="00E40183" w:rsidRDefault="00E40183" w:rsidP="007339C0">
            <w:pPr>
              <w:jc w:val="center"/>
            </w:pPr>
            <w:r>
              <w:t>157</w:t>
            </w:r>
          </w:p>
        </w:tc>
        <w:tc>
          <w:tcPr>
            <w:tcW w:w="1276" w:type="dxa"/>
            <w:shd w:val="clear" w:color="auto" w:fill="F2F2F2" w:themeFill="background1" w:themeFillShade="F2"/>
          </w:tcPr>
          <w:p w14:paraId="0D76E85F" w14:textId="27E01C7E" w:rsidR="00E40183" w:rsidRDefault="00E40183" w:rsidP="007339C0">
            <w:pPr>
              <w:jc w:val="center"/>
            </w:pPr>
            <w:r>
              <w:t>129</w:t>
            </w:r>
          </w:p>
        </w:tc>
        <w:tc>
          <w:tcPr>
            <w:tcW w:w="1279" w:type="dxa"/>
          </w:tcPr>
          <w:p w14:paraId="25BD4BB2" w14:textId="22BFA9A2" w:rsidR="00E40183" w:rsidRDefault="00E40183" w:rsidP="007339C0">
            <w:pPr>
              <w:jc w:val="center"/>
            </w:pPr>
            <w:r>
              <w:t>113,8</w:t>
            </w:r>
          </w:p>
        </w:tc>
        <w:tc>
          <w:tcPr>
            <w:tcW w:w="1276" w:type="dxa"/>
            <w:shd w:val="clear" w:color="auto" w:fill="F2F2F2" w:themeFill="background1" w:themeFillShade="F2"/>
          </w:tcPr>
          <w:p w14:paraId="6A0DB491" w14:textId="49519DC3" w:rsidR="00E40183" w:rsidRDefault="00E40183" w:rsidP="007339C0">
            <w:pPr>
              <w:jc w:val="center"/>
            </w:pPr>
            <w:r>
              <w:t>92,4</w:t>
            </w:r>
          </w:p>
        </w:tc>
        <w:tc>
          <w:tcPr>
            <w:tcW w:w="1248" w:type="dxa"/>
            <w:shd w:val="clear" w:color="auto" w:fill="F2F2F2" w:themeFill="background1" w:themeFillShade="F2"/>
          </w:tcPr>
          <w:p w14:paraId="00D95E96" w14:textId="29B29E44" w:rsidR="00E40183" w:rsidRDefault="00E40183" w:rsidP="007339C0">
            <w:pPr>
              <w:jc w:val="center"/>
            </w:pPr>
            <w:r>
              <w:t>97,5</w:t>
            </w:r>
          </w:p>
        </w:tc>
      </w:tr>
    </w:tbl>
    <w:p w14:paraId="5C2646AC" w14:textId="59ED6AB7" w:rsidR="00A12981" w:rsidRDefault="00A12981" w:rsidP="00A12981"/>
    <w:p w14:paraId="75CF17CA" w14:textId="77777777" w:rsidR="00E0443A" w:rsidRDefault="007A1928" w:rsidP="007A1928">
      <w:r>
        <w:t xml:space="preserve">Mais la TVA, comme la plupart des autres grands impôts d’État, apporte des recettes qui donnent lieu à une opération. On prend le total de la TVA brute encaissée par le Trésor public, puis on retire les remboursements </w:t>
      </w:r>
      <w:r w:rsidR="00E0443A">
        <w:t>et les</w:t>
      </w:r>
      <w:r>
        <w:t xml:space="preserve"> dégrèvements pour obtenir la TVA nette. </w:t>
      </w:r>
    </w:p>
    <w:p w14:paraId="525D40ED" w14:textId="3596D0A5" w:rsidR="007A1928" w:rsidRDefault="007A1928" w:rsidP="007A1928">
      <w:r>
        <w:t>Le tableau suivant permet d’y voir plus clair :</w:t>
      </w:r>
    </w:p>
    <w:p w14:paraId="0B6E3909" w14:textId="515957D5" w:rsidR="007A1928" w:rsidRPr="00E0443A" w:rsidRDefault="007A1928" w:rsidP="007A1928">
      <w:pPr>
        <w:jc w:val="center"/>
        <w:rPr>
          <w:b/>
          <w:bCs/>
          <w:color w:val="832C6B"/>
        </w:rPr>
      </w:pPr>
      <w:r w:rsidRPr="00E0443A">
        <w:rPr>
          <w:b/>
          <w:bCs/>
          <w:color w:val="832C6B"/>
        </w:rPr>
        <w:t xml:space="preserve">Passage de la TVA brute à la TVA nette </w:t>
      </w:r>
    </w:p>
    <w:tbl>
      <w:tblPr>
        <w:tblStyle w:val="Grilledutableau"/>
        <w:tblW w:w="0" w:type="auto"/>
        <w:tblLook w:val="04A0" w:firstRow="1" w:lastRow="0" w:firstColumn="1" w:lastColumn="0" w:noHBand="0" w:noVBand="1"/>
      </w:tblPr>
      <w:tblGrid>
        <w:gridCol w:w="2303"/>
        <w:gridCol w:w="2303"/>
        <w:gridCol w:w="2303"/>
        <w:gridCol w:w="2303"/>
      </w:tblGrid>
      <w:tr w:rsidR="007A1928" w14:paraId="665E2B2D" w14:textId="77777777" w:rsidTr="00E0443A">
        <w:tc>
          <w:tcPr>
            <w:tcW w:w="2303" w:type="dxa"/>
            <w:shd w:val="clear" w:color="auto" w:fill="F2F2F2" w:themeFill="background1" w:themeFillShade="F2"/>
          </w:tcPr>
          <w:p w14:paraId="595CDFCE" w14:textId="19F44854" w:rsidR="007A1928" w:rsidRDefault="00E0443A" w:rsidP="007A1928">
            <w:pPr>
              <w:jc w:val="center"/>
            </w:pPr>
            <w:r>
              <w:t>Années</w:t>
            </w:r>
          </w:p>
        </w:tc>
        <w:tc>
          <w:tcPr>
            <w:tcW w:w="2303" w:type="dxa"/>
            <w:shd w:val="clear" w:color="auto" w:fill="F2F2F2" w:themeFill="background1" w:themeFillShade="F2"/>
          </w:tcPr>
          <w:p w14:paraId="5B02C677" w14:textId="5F3958AF" w:rsidR="007A1928" w:rsidRDefault="007A1928" w:rsidP="007A1928">
            <w:pPr>
              <w:jc w:val="center"/>
            </w:pPr>
            <w:r>
              <w:t xml:space="preserve">2019 </w:t>
            </w:r>
          </w:p>
        </w:tc>
        <w:tc>
          <w:tcPr>
            <w:tcW w:w="2303" w:type="dxa"/>
            <w:shd w:val="clear" w:color="auto" w:fill="F2F2F2" w:themeFill="background1" w:themeFillShade="F2"/>
          </w:tcPr>
          <w:p w14:paraId="14849AE6" w14:textId="57C6E6BC" w:rsidR="007A1928" w:rsidRDefault="007A1928" w:rsidP="007A1928">
            <w:pPr>
              <w:jc w:val="center"/>
            </w:pPr>
            <w:r>
              <w:t>2020</w:t>
            </w:r>
          </w:p>
        </w:tc>
        <w:tc>
          <w:tcPr>
            <w:tcW w:w="2303" w:type="dxa"/>
            <w:shd w:val="clear" w:color="auto" w:fill="F2F2F2" w:themeFill="background1" w:themeFillShade="F2"/>
          </w:tcPr>
          <w:p w14:paraId="3E3730F6" w14:textId="56597131" w:rsidR="007A1928" w:rsidRDefault="007A1928" w:rsidP="007A1928">
            <w:pPr>
              <w:jc w:val="center"/>
            </w:pPr>
            <w:r>
              <w:t>2021</w:t>
            </w:r>
          </w:p>
        </w:tc>
      </w:tr>
      <w:tr w:rsidR="007A1928" w14:paraId="5F83071C" w14:textId="77777777" w:rsidTr="007A1928">
        <w:tc>
          <w:tcPr>
            <w:tcW w:w="2303" w:type="dxa"/>
          </w:tcPr>
          <w:p w14:paraId="45AB4712" w14:textId="27BAF43F" w:rsidR="007A1928" w:rsidRDefault="007A1928" w:rsidP="007A1928">
            <w:pPr>
              <w:jc w:val="center"/>
            </w:pPr>
            <w:r>
              <w:t xml:space="preserve">TVA brute </w:t>
            </w:r>
          </w:p>
        </w:tc>
        <w:tc>
          <w:tcPr>
            <w:tcW w:w="2303" w:type="dxa"/>
          </w:tcPr>
          <w:p w14:paraId="56D262B1" w14:textId="0C99A26B" w:rsidR="007A1928" w:rsidRDefault="007A1928" w:rsidP="007A1928">
            <w:pPr>
              <w:jc w:val="center"/>
            </w:pPr>
            <w:r>
              <w:t xml:space="preserve">188,5 </w:t>
            </w:r>
          </w:p>
        </w:tc>
        <w:tc>
          <w:tcPr>
            <w:tcW w:w="2303" w:type="dxa"/>
          </w:tcPr>
          <w:p w14:paraId="60210261" w14:textId="0C7C453A" w:rsidR="007A1928" w:rsidRDefault="007A1928" w:rsidP="007A1928">
            <w:pPr>
              <w:jc w:val="center"/>
            </w:pPr>
            <w:r>
              <w:t xml:space="preserve">175,0 </w:t>
            </w:r>
          </w:p>
        </w:tc>
        <w:tc>
          <w:tcPr>
            <w:tcW w:w="2303" w:type="dxa"/>
          </w:tcPr>
          <w:p w14:paraId="6D653A86" w14:textId="5B1041E6" w:rsidR="007A1928" w:rsidRDefault="007A1928" w:rsidP="007A1928">
            <w:pPr>
              <w:jc w:val="center"/>
            </w:pPr>
            <w:r>
              <w:t>1</w:t>
            </w:r>
            <w:r w:rsidR="00AE05CF">
              <w:t>55,7</w:t>
            </w:r>
          </w:p>
        </w:tc>
      </w:tr>
      <w:tr w:rsidR="007A1928" w14:paraId="0735D325" w14:textId="77777777" w:rsidTr="00E0443A">
        <w:tc>
          <w:tcPr>
            <w:tcW w:w="2303" w:type="dxa"/>
            <w:shd w:val="clear" w:color="auto" w:fill="F2F2F2" w:themeFill="background1" w:themeFillShade="F2"/>
          </w:tcPr>
          <w:p w14:paraId="40B4B4AF" w14:textId="1A1B6212" w:rsidR="007A1928" w:rsidRDefault="007A1928" w:rsidP="007A1928">
            <w:pPr>
              <w:jc w:val="center"/>
            </w:pPr>
            <w:r>
              <w:t>R</w:t>
            </w:r>
            <w:r w:rsidR="00E0443A">
              <w:t>emboursements et dégrèvements</w:t>
            </w:r>
            <w:r>
              <w:t xml:space="preserve"> </w:t>
            </w:r>
          </w:p>
        </w:tc>
        <w:tc>
          <w:tcPr>
            <w:tcW w:w="2303" w:type="dxa"/>
            <w:shd w:val="clear" w:color="auto" w:fill="F2F2F2" w:themeFill="background1" w:themeFillShade="F2"/>
          </w:tcPr>
          <w:p w14:paraId="6F846C8C" w14:textId="1A49D96E" w:rsidR="007A1928" w:rsidRDefault="007A1928" w:rsidP="007A1928">
            <w:pPr>
              <w:jc w:val="center"/>
            </w:pPr>
            <w:r>
              <w:t>59,5</w:t>
            </w:r>
          </w:p>
        </w:tc>
        <w:tc>
          <w:tcPr>
            <w:tcW w:w="2303" w:type="dxa"/>
            <w:shd w:val="clear" w:color="auto" w:fill="F2F2F2" w:themeFill="background1" w:themeFillShade="F2"/>
          </w:tcPr>
          <w:p w14:paraId="464521EF" w14:textId="417AB097" w:rsidR="007A1928" w:rsidRDefault="007A1928" w:rsidP="007A1928">
            <w:pPr>
              <w:jc w:val="center"/>
            </w:pPr>
            <w:r>
              <w:t>63,7</w:t>
            </w:r>
          </w:p>
        </w:tc>
        <w:tc>
          <w:tcPr>
            <w:tcW w:w="2303" w:type="dxa"/>
            <w:shd w:val="clear" w:color="auto" w:fill="F2F2F2" w:themeFill="background1" w:themeFillShade="F2"/>
          </w:tcPr>
          <w:p w14:paraId="65339707" w14:textId="07A17F14" w:rsidR="007A1928" w:rsidRDefault="00AE05CF" w:rsidP="007A1928">
            <w:pPr>
              <w:jc w:val="center"/>
            </w:pPr>
            <w:r>
              <w:t>63,3</w:t>
            </w:r>
          </w:p>
        </w:tc>
      </w:tr>
      <w:tr w:rsidR="007A1928" w14:paraId="5D6EC56E" w14:textId="77777777" w:rsidTr="007A1928">
        <w:tc>
          <w:tcPr>
            <w:tcW w:w="2303" w:type="dxa"/>
          </w:tcPr>
          <w:p w14:paraId="36F1DFA0" w14:textId="19393B02" w:rsidR="007A1928" w:rsidRDefault="007A1928" w:rsidP="007A1928">
            <w:pPr>
              <w:jc w:val="center"/>
            </w:pPr>
            <w:r>
              <w:t xml:space="preserve">TVA nette </w:t>
            </w:r>
          </w:p>
        </w:tc>
        <w:tc>
          <w:tcPr>
            <w:tcW w:w="2303" w:type="dxa"/>
          </w:tcPr>
          <w:p w14:paraId="781CC4E7" w14:textId="43E84A7E" w:rsidR="007A1928" w:rsidRDefault="007A1928" w:rsidP="007A1928">
            <w:pPr>
              <w:jc w:val="center"/>
            </w:pPr>
            <w:r>
              <w:t>128,9</w:t>
            </w:r>
          </w:p>
        </w:tc>
        <w:tc>
          <w:tcPr>
            <w:tcW w:w="2303" w:type="dxa"/>
          </w:tcPr>
          <w:p w14:paraId="02BAD293" w14:textId="14380AB5" w:rsidR="007A1928" w:rsidRDefault="007A1928" w:rsidP="007A1928">
            <w:pPr>
              <w:jc w:val="center"/>
            </w:pPr>
            <w:r>
              <w:t>111,3</w:t>
            </w:r>
          </w:p>
        </w:tc>
        <w:tc>
          <w:tcPr>
            <w:tcW w:w="2303" w:type="dxa"/>
          </w:tcPr>
          <w:p w14:paraId="542D003B" w14:textId="4BA3FB8F" w:rsidR="007A1928" w:rsidRDefault="00AE05CF" w:rsidP="007A1928">
            <w:pPr>
              <w:jc w:val="center"/>
            </w:pPr>
            <w:r>
              <w:t>92,4</w:t>
            </w:r>
          </w:p>
        </w:tc>
      </w:tr>
    </w:tbl>
    <w:p w14:paraId="6B8B7499" w14:textId="5507F0BE" w:rsidR="007A1928" w:rsidRDefault="007A1928" w:rsidP="007A1928">
      <w:r>
        <w:t xml:space="preserve">Origine : PLF-2021, Rapport voies &amp; moyens, p.47. </w:t>
      </w:r>
    </w:p>
    <w:p w14:paraId="66A989C5" w14:textId="4CB79F82" w:rsidR="007A1928" w:rsidRDefault="007A1928" w:rsidP="00592408">
      <w:pPr>
        <w:jc w:val="both"/>
      </w:pPr>
      <w:r>
        <w:t>Depuis 2018, l’État attribue une fraction de TVA aux Régions</w:t>
      </w:r>
      <w:r w:rsidR="00E0443A">
        <w:t xml:space="preserve"> </w:t>
      </w:r>
      <w:r>
        <w:t>4,4 M</w:t>
      </w:r>
      <w:r w:rsidR="00E0443A">
        <w:t>illiards d’euros</w:t>
      </w:r>
      <w:r>
        <w:t xml:space="preserve">. </w:t>
      </w:r>
      <w:r w:rsidR="00E0443A">
        <w:br/>
      </w:r>
      <w:r w:rsidR="00730652">
        <w:t>Depuis ce début d’année 2022</w:t>
      </w:r>
      <w:r>
        <w:t xml:space="preserve">, l’État attribuera </w:t>
      </w:r>
      <w:r w:rsidR="00730652">
        <w:t>une petite partie de la</w:t>
      </w:r>
      <w:r>
        <w:t xml:space="preserve"> TVA aux </w:t>
      </w:r>
      <w:r w:rsidRPr="00E0443A">
        <w:rPr>
          <w:b/>
          <w:bCs/>
          <w:color w:val="832C6B"/>
        </w:rPr>
        <w:t>EPCI</w:t>
      </w:r>
      <w:r w:rsidR="00E0443A">
        <w:t xml:space="preserve"> (établissements publics de coopération intercommunale)</w:t>
      </w:r>
      <w:r w:rsidR="00730652">
        <w:t>, en lieu et place du produit de la taxe d’habitation,</w:t>
      </w:r>
      <w:r>
        <w:t xml:space="preserve"> et aux </w:t>
      </w:r>
      <w:r w:rsidRPr="00E0443A">
        <w:rPr>
          <w:b/>
          <w:bCs/>
          <w:color w:val="832C6B"/>
        </w:rPr>
        <w:t>Départements</w:t>
      </w:r>
      <w:r w:rsidR="00730652">
        <w:t>, concernant leur perte sur la taxe foncière des propriétés bâties (taxe transférée aux communes).</w:t>
      </w:r>
      <w:r>
        <w:t xml:space="preserve"> Il ne va plus rester grand-chose à l’État pour financer son budget. Les recettes de TVA seront même inférieures à 100 M</w:t>
      </w:r>
      <w:r w:rsidR="00E0443A">
        <w:t>illiards</w:t>
      </w:r>
      <w:r>
        <w:t xml:space="preserve"> d’euros à partir de 2021 avec le chiffre prévisionnel de 89 M</w:t>
      </w:r>
      <w:r w:rsidR="00E0443A">
        <w:t>illiards</w:t>
      </w:r>
      <w:r>
        <w:t xml:space="preserve"> </w:t>
      </w:r>
      <w:proofErr w:type="gramStart"/>
      <w:r>
        <w:t>d’euros</w:t>
      </w:r>
      <w:r w:rsidR="0001741C">
        <w:t xml:space="preserve"> </w:t>
      </w:r>
      <w:r>
        <w:t xml:space="preserve"> contre</w:t>
      </w:r>
      <w:proofErr w:type="gramEnd"/>
      <w:r>
        <w:t xml:space="preserve"> 129</w:t>
      </w:r>
      <w:r w:rsidR="00592408">
        <w:t>Mds</w:t>
      </w:r>
      <w:r>
        <w:t xml:space="preserve"> en </w:t>
      </w:r>
      <w:r w:rsidR="00592408">
        <w:t>2019.</w:t>
      </w:r>
    </w:p>
    <w:tbl>
      <w:tblPr>
        <w:tblStyle w:val="Grilledutableau"/>
        <w:tblW w:w="0" w:type="auto"/>
        <w:tblLook w:val="04A0" w:firstRow="1" w:lastRow="0" w:firstColumn="1" w:lastColumn="0" w:noHBand="0" w:noVBand="1"/>
      </w:tblPr>
      <w:tblGrid>
        <w:gridCol w:w="2303"/>
        <w:gridCol w:w="2303"/>
        <w:gridCol w:w="2303"/>
        <w:gridCol w:w="2303"/>
      </w:tblGrid>
      <w:tr w:rsidR="00592408" w14:paraId="4A73AF6E" w14:textId="77777777" w:rsidTr="00966907">
        <w:tc>
          <w:tcPr>
            <w:tcW w:w="2303" w:type="dxa"/>
            <w:shd w:val="clear" w:color="auto" w:fill="F2F2F2" w:themeFill="background1" w:themeFillShade="F2"/>
          </w:tcPr>
          <w:p w14:paraId="5470C4DA" w14:textId="77777777" w:rsidR="00592408" w:rsidRDefault="00592408" w:rsidP="00966907">
            <w:pPr>
              <w:jc w:val="center"/>
            </w:pPr>
            <w:r>
              <w:t>Années</w:t>
            </w:r>
          </w:p>
        </w:tc>
        <w:tc>
          <w:tcPr>
            <w:tcW w:w="2303" w:type="dxa"/>
            <w:shd w:val="clear" w:color="auto" w:fill="F2F2F2" w:themeFill="background1" w:themeFillShade="F2"/>
          </w:tcPr>
          <w:p w14:paraId="053CD031" w14:textId="5F3ADEA6" w:rsidR="00592408" w:rsidRDefault="00592408" w:rsidP="00966907">
            <w:pPr>
              <w:jc w:val="center"/>
            </w:pPr>
            <w:r>
              <w:t>20</w:t>
            </w:r>
            <w:r>
              <w:t>21</w:t>
            </w:r>
          </w:p>
        </w:tc>
        <w:tc>
          <w:tcPr>
            <w:tcW w:w="2303" w:type="dxa"/>
            <w:shd w:val="clear" w:color="auto" w:fill="F2F2F2" w:themeFill="background1" w:themeFillShade="F2"/>
          </w:tcPr>
          <w:p w14:paraId="090B97FC" w14:textId="16E98A90" w:rsidR="00592408" w:rsidRDefault="00592408" w:rsidP="00966907">
            <w:pPr>
              <w:jc w:val="center"/>
            </w:pPr>
            <w:r>
              <w:t>202</w:t>
            </w:r>
            <w:r>
              <w:t>2 (p)</w:t>
            </w:r>
          </w:p>
        </w:tc>
        <w:tc>
          <w:tcPr>
            <w:tcW w:w="2303" w:type="dxa"/>
            <w:shd w:val="clear" w:color="auto" w:fill="F2F2F2" w:themeFill="background1" w:themeFillShade="F2"/>
          </w:tcPr>
          <w:p w14:paraId="1CD24A28" w14:textId="26A2A488" w:rsidR="00592408" w:rsidRDefault="00592408" w:rsidP="00966907">
            <w:pPr>
              <w:jc w:val="center"/>
            </w:pPr>
            <w:r>
              <w:t>202</w:t>
            </w:r>
            <w:r>
              <w:t>3 (p)</w:t>
            </w:r>
          </w:p>
        </w:tc>
      </w:tr>
      <w:tr w:rsidR="00592408" w14:paraId="489D1A9D" w14:textId="77777777" w:rsidTr="00966907">
        <w:tc>
          <w:tcPr>
            <w:tcW w:w="2303" w:type="dxa"/>
          </w:tcPr>
          <w:p w14:paraId="531DF310" w14:textId="77777777" w:rsidR="00592408" w:rsidRDefault="00592408" w:rsidP="00966907">
            <w:pPr>
              <w:jc w:val="center"/>
            </w:pPr>
            <w:r>
              <w:t xml:space="preserve">TVA brute </w:t>
            </w:r>
          </w:p>
        </w:tc>
        <w:tc>
          <w:tcPr>
            <w:tcW w:w="2303" w:type="dxa"/>
          </w:tcPr>
          <w:p w14:paraId="3F02A06D" w14:textId="7780D848" w:rsidR="00592408" w:rsidRDefault="00592408" w:rsidP="00966907">
            <w:pPr>
              <w:jc w:val="center"/>
            </w:pPr>
            <w:r>
              <w:t>249,8</w:t>
            </w:r>
          </w:p>
        </w:tc>
        <w:tc>
          <w:tcPr>
            <w:tcW w:w="2303" w:type="dxa"/>
          </w:tcPr>
          <w:p w14:paraId="62D159DA" w14:textId="3B845A14" w:rsidR="00592408" w:rsidRDefault="00592408" w:rsidP="00966907">
            <w:pPr>
              <w:jc w:val="center"/>
            </w:pPr>
            <w:r>
              <w:t>272,9</w:t>
            </w:r>
          </w:p>
        </w:tc>
        <w:tc>
          <w:tcPr>
            <w:tcW w:w="2303" w:type="dxa"/>
          </w:tcPr>
          <w:p w14:paraId="1470DB63" w14:textId="0A20DCFB" w:rsidR="00592408" w:rsidRDefault="00592408" w:rsidP="00966907">
            <w:pPr>
              <w:jc w:val="center"/>
            </w:pPr>
            <w:r>
              <w:t>284,8</w:t>
            </w:r>
          </w:p>
        </w:tc>
      </w:tr>
      <w:tr w:rsidR="00592408" w14:paraId="762225E7" w14:textId="77777777" w:rsidTr="00966907">
        <w:tc>
          <w:tcPr>
            <w:tcW w:w="2303" w:type="dxa"/>
            <w:shd w:val="clear" w:color="auto" w:fill="F2F2F2" w:themeFill="background1" w:themeFillShade="F2"/>
          </w:tcPr>
          <w:p w14:paraId="4E12D4F9" w14:textId="77777777" w:rsidR="00592408" w:rsidRDefault="00592408" w:rsidP="00966907">
            <w:pPr>
              <w:jc w:val="center"/>
            </w:pPr>
            <w:r>
              <w:t xml:space="preserve">Remboursements et dégrèvements </w:t>
            </w:r>
          </w:p>
        </w:tc>
        <w:tc>
          <w:tcPr>
            <w:tcW w:w="2303" w:type="dxa"/>
            <w:shd w:val="clear" w:color="auto" w:fill="F2F2F2" w:themeFill="background1" w:themeFillShade="F2"/>
          </w:tcPr>
          <w:p w14:paraId="4381296D" w14:textId="45640CD0" w:rsidR="00592408" w:rsidRDefault="00592408" w:rsidP="00966907">
            <w:pPr>
              <w:jc w:val="center"/>
            </w:pPr>
            <w:r>
              <w:t>-63,0</w:t>
            </w:r>
          </w:p>
        </w:tc>
        <w:tc>
          <w:tcPr>
            <w:tcW w:w="2303" w:type="dxa"/>
            <w:shd w:val="clear" w:color="auto" w:fill="F2F2F2" w:themeFill="background1" w:themeFillShade="F2"/>
          </w:tcPr>
          <w:p w14:paraId="4D1F13B0" w14:textId="53BBD412" w:rsidR="00592408" w:rsidRDefault="00592408" w:rsidP="00966907">
            <w:pPr>
              <w:jc w:val="center"/>
            </w:pPr>
            <w:r>
              <w:t>-68,3</w:t>
            </w:r>
          </w:p>
        </w:tc>
        <w:tc>
          <w:tcPr>
            <w:tcW w:w="2303" w:type="dxa"/>
            <w:shd w:val="clear" w:color="auto" w:fill="F2F2F2" w:themeFill="background1" w:themeFillShade="F2"/>
          </w:tcPr>
          <w:p w14:paraId="3C431FA7" w14:textId="5311D3FC" w:rsidR="00592408" w:rsidRDefault="00592408" w:rsidP="00966907">
            <w:pPr>
              <w:jc w:val="center"/>
            </w:pPr>
            <w:r>
              <w:t>-</w:t>
            </w:r>
            <w:r>
              <w:t>6</w:t>
            </w:r>
            <w:r>
              <w:t>9,8</w:t>
            </w:r>
          </w:p>
        </w:tc>
      </w:tr>
      <w:tr w:rsidR="00592408" w14:paraId="04C749C6" w14:textId="77777777" w:rsidTr="00966907">
        <w:tc>
          <w:tcPr>
            <w:tcW w:w="2303" w:type="dxa"/>
          </w:tcPr>
          <w:p w14:paraId="1714FFC3" w14:textId="77777777" w:rsidR="00592408" w:rsidRDefault="00592408" w:rsidP="00966907">
            <w:pPr>
              <w:jc w:val="center"/>
            </w:pPr>
            <w:r>
              <w:t xml:space="preserve">TVA nette </w:t>
            </w:r>
          </w:p>
        </w:tc>
        <w:tc>
          <w:tcPr>
            <w:tcW w:w="2303" w:type="dxa"/>
          </w:tcPr>
          <w:p w14:paraId="1BA4A499" w14:textId="7AA26354" w:rsidR="00592408" w:rsidRDefault="00592408" w:rsidP="00966907">
            <w:pPr>
              <w:jc w:val="center"/>
            </w:pPr>
            <w:r>
              <w:t>1</w:t>
            </w:r>
            <w:r>
              <w:t>86,7</w:t>
            </w:r>
          </w:p>
        </w:tc>
        <w:tc>
          <w:tcPr>
            <w:tcW w:w="2303" w:type="dxa"/>
          </w:tcPr>
          <w:p w14:paraId="164B435F" w14:textId="5536D294" w:rsidR="00592408" w:rsidRDefault="00592408" w:rsidP="00966907">
            <w:pPr>
              <w:jc w:val="center"/>
            </w:pPr>
            <w:r>
              <w:t>204,6</w:t>
            </w:r>
          </w:p>
        </w:tc>
        <w:tc>
          <w:tcPr>
            <w:tcW w:w="2303" w:type="dxa"/>
          </w:tcPr>
          <w:p w14:paraId="6064596B" w14:textId="38BC2338" w:rsidR="00592408" w:rsidRDefault="00592408" w:rsidP="00966907">
            <w:pPr>
              <w:jc w:val="center"/>
            </w:pPr>
            <w:r>
              <w:t>215,0</w:t>
            </w:r>
          </w:p>
        </w:tc>
      </w:tr>
      <w:tr w:rsidR="00592408" w14:paraId="43F73B53" w14:textId="77777777" w:rsidTr="00966907">
        <w:tc>
          <w:tcPr>
            <w:tcW w:w="2303" w:type="dxa"/>
          </w:tcPr>
          <w:p w14:paraId="766BB768" w14:textId="53BC52D2" w:rsidR="00592408" w:rsidRDefault="00592408" w:rsidP="00966907">
            <w:pPr>
              <w:jc w:val="center"/>
            </w:pPr>
            <w:r>
              <w:t>Sécurité sociale</w:t>
            </w:r>
          </w:p>
        </w:tc>
        <w:tc>
          <w:tcPr>
            <w:tcW w:w="2303" w:type="dxa"/>
          </w:tcPr>
          <w:p w14:paraId="1D67FBEE" w14:textId="5A7F0AF8" w:rsidR="00592408" w:rsidRDefault="00592408" w:rsidP="00966907">
            <w:pPr>
              <w:jc w:val="center"/>
            </w:pPr>
            <w:r>
              <w:t>-53,8</w:t>
            </w:r>
          </w:p>
        </w:tc>
        <w:tc>
          <w:tcPr>
            <w:tcW w:w="2303" w:type="dxa"/>
          </w:tcPr>
          <w:p w14:paraId="3938A9B6" w14:textId="4A43A5BC" w:rsidR="00592408" w:rsidRDefault="00592408" w:rsidP="00966907">
            <w:pPr>
              <w:jc w:val="center"/>
            </w:pPr>
            <w:r>
              <w:t>-57,9</w:t>
            </w:r>
          </w:p>
        </w:tc>
        <w:tc>
          <w:tcPr>
            <w:tcW w:w="2303" w:type="dxa"/>
          </w:tcPr>
          <w:p w14:paraId="4DD37333" w14:textId="21201BDC" w:rsidR="00592408" w:rsidRDefault="00592408" w:rsidP="00966907">
            <w:pPr>
              <w:jc w:val="center"/>
            </w:pPr>
            <w:r>
              <w:t>-61,2</w:t>
            </w:r>
          </w:p>
        </w:tc>
      </w:tr>
      <w:tr w:rsidR="00592408" w14:paraId="1DB81E28" w14:textId="77777777" w:rsidTr="00966907">
        <w:tc>
          <w:tcPr>
            <w:tcW w:w="2303" w:type="dxa"/>
          </w:tcPr>
          <w:p w14:paraId="425E4774" w14:textId="03A240C8" w:rsidR="00592408" w:rsidRDefault="00592408" w:rsidP="00966907">
            <w:pPr>
              <w:jc w:val="center"/>
            </w:pPr>
            <w:r>
              <w:t>Collectivités locales</w:t>
            </w:r>
          </w:p>
        </w:tc>
        <w:tc>
          <w:tcPr>
            <w:tcW w:w="2303" w:type="dxa"/>
          </w:tcPr>
          <w:p w14:paraId="35E7F812" w14:textId="7E1F93DF" w:rsidR="00592408" w:rsidRDefault="00592408" w:rsidP="00966907">
            <w:pPr>
              <w:jc w:val="center"/>
            </w:pPr>
            <w:r>
              <w:t>-37,4</w:t>
            </w:r>
          </w:p>
        </w:tc>
        <w:tc>
          <w:tcPr>
            <w:tcW w:w="2303" w:type="dxa"/>
          </w:tcPr>
          <w:p w14:paraId="1F249698" w14:textId="1C78BCA3" w:rsidR="00592408" w:rsidRDefault="00592408" w:rsidP="00966907">
            <w:pPr>
              <w:jc w:val="center"/>
            </w:pPr>
            <w:r>
              <w:t>-41,0</w:t>
            </w:r>
          </w:p>
        </w:tc>
        <w:tc>
          <w:tcPr>
            <w:tcW w:w="2303" w:type="dxa"/>
          </w:tcPr>
          <w:p w14:paraId="59B206B4" w14:textId="5EE97EF9" w:rsidR="00592408" w:rsidRDefault="00592408" w:rsidP="00966907">
            <w:pPr>
              <w:jc w:val="center"/>
            </w:pPr>
            <w:r>
              <w:t>-52,7</w:t>
            </w:r>
          </w:p>
        </w:tc>
      </w:tr>
      <w:tr w:rsidR="00592408" w14:paraId="67288901" w14:textId="77777777" w:rsidTr="00966907">
        <w:tc>
          <w:tcPr>
            <w:tcW w:w="2303" w:type="dxa"/>
          </w:tcPr>
          <w:p w14:paraId="5236DE90" w14:textId="1E3FFD7D" w:rsidR="00592408" w:rsidRDefault="00592408" w:rsidP="00966907">
            <w:pPr>
              <w:jc w:val="center"/>
            </w:pPr>
            <w:r>
              <w:t>Audiovisuel public</w:t>
            </w:r>
          </w:p>
        </w:tc>
        <w:tc>
          <w:tcPr>
            <w:tcW w:w="2303" w:type="dxa"/>
          </w:tcPr>
          <w:p w14:paraId="1E052038" w14:textId="17EC5F62" w:rsidR="00592408" w:rsidRDefault="00592408" w:rsidP="00966907">
            <w:pPr>
              <w:jc w:val="center"/>
            </w:pPr>
            <w:r>
              <w:t>0</w:t>
            </w:r>
          </w:p>
        </w:tc>
        <w:tc>
          <w:tcPr>
            <w:tcW w:w="2303" w:type="dxa"/>
          </w:tcPr>
          <w:p w14:paraId="45B1B905" w14:textId="3EB8F46B" w:rsidR="00592408" w:rsidRDefault="00592408" w:rsidP="00966907">
            <w:pPr>
              <w:jc w:val="center"/>
            </w:pPr>
            <w:r>
              <w:t>-3,6</w:t>
            </w:r>
          </w:p>
        </w:tc>
        <w:tc>
          <w:tcPr>
            <w:tcW w:w="2303" w:type="dxa"/>
          </w:tcPr>
          <w:p w14:paraId="4E13C2E4" w14:textId="58857E2B" w:rsidR="00592408" w:rsidRDefault="00592408" w:rsidP="00966907">
            <w:pPr>
              <w:jc w:val="center"/>
            </w:pPr>
            <w:r>
              <w:t>-3,8</w:t>
            </w:r>
          </w:p>
        </w:tc>
      </w:tr>
      <w:tr w:rsidR="00592408" w14:paraId="63CB3315" w14:textId="77777777" w:rsidTr="00966907">
        <w:tc>
          <w:tcPr>
            <w:tcW w:w="2303" w:type="dxa"/>
          </w:tcPr>
          <w:p w14:paraId="0E13B3B5" w14:textId="521B5884" w:rsidR="00592408" w:rsidRDefault="00592408" w:rsidP="00966907">
            <w:pPr>
              <w:jc w:val="center"/>
            </w:pPr>
            <w:r>
              <w:t>Reste pour l’Etat</w:t>
            </w:r>
          </w:p>
        </w:tc>
        <w:tc>
          <w:tcPr>
            <w:tcW w:w="2303" w:type="dxa"/>
          </w:tcPr>
          <w:p w14:paraId="24E1D2F7" w14:textId="03A45E5C" w:rsidR="00592408" w:rsidRDefault="00592408" w:rsidP="00966907">
            <w:pPr>
              <w:jc w:val="center"/>
            </w:pPr>
            <w:r>
              <w:t>= 95,5</w:t>
            </w:r>
          </w:p>
        </w:tc>
        <w:tc>
          <w:tcPr>
            <w:tcW w:w="2303" w:type="dxa"/>
          </w:tcPr>
          <w:p w14:paraId="066707A7" w14:textId="79A7A552" w:rsidR="00592408" w:rsidRDefault="00592408" w:rsidP="00966907">
            <w:pPr>
              <w:jc w:val="center"/>
            </w:pPr>
            <w:r>
              <w:t>= 102,1</w:t>
            </w:r>
          </w:p>
        </w:tc>
        <w:tc>
          <w:tcPr>
            <w:tcW w:w="2303" w:type="dxa"/>
          </w:tcPr>
          <w:p w14:paraId="399D54CE" w14:textId="640A85FC" w:rsidR="00592408" w:rsidRDefault="00592408" w:rsidP="00966907">
            <w:pPr>
              <w:jc w:val="center"/>
            </w:pPr>
            <w:r>
              <w:t>= 97,4</w:t>
            </w:r>
          </w:p>
        </w:tc>
      </w:tr>
    </w:tbl>
    <w:p w14:paraId="6C65D39E" w14:textId="341008D0" w:rsidR="00592408" w:rsidRDefault="00592408" w:rsidP="00592408">
      <w:r>
        <w:t>Origine : PLF-202</w:t>
      </w:r>
      <w:r>
        <w:t>3</w:t>
      </w:r>
      <w:r>
        <w:t>, Rapport voies &amp; moyens, p.4</w:t>
      </w:r>
      <w:r>
        <w:t>0</w:t>
      </w:r>
      <w:r>
        <w:t xml:space="preserve">. </w:t>
      </w:r>
    </w:p>
    <w:p w14:paraId="3B6F2D0C" w14:textId="015A0CED" w:rsidR="00592408" w:rsidRDefault="00592408" w:rsidP="00592408">
      <w:pPr>
        <w:jc w:val="both"/>
      </w:pPr>
      <w:r>
        <w:t xml:space="preserve">Le schéma ci-dessus est dramatique pour l’Etat. Il nous montre que la ressource de TVA est redistribuée de plus en plus largement à la Sécurité sociale + aux collectivités territoriales + à l’audiovisuel public (depuis la LFR 2022). Ce que l’Etat redistribue est de plus en plus lourd et au bout du compte, l’Etat n’a plus grand’chose comme recettes fiscale de TVA. </w:t>
      </w:r>
      <w:r w:rsidR="002376E6">
        <w:t>Ce qui est redistribué est de plus en plus gros : 91,2 Mds d’euros en 2021, 102,5 Mds d’euros en 2022 et 117,7 Mds d’euros prévus pour 2023. Ce qui reste pour l’Etat était inférieur à 100 Mds d’euros en 2021, c’est remonté au-dessus de 100 Mds d’euros en 2022 mais pour 2023, l’Etat sera à nouveau en-dessous de 100 Mds d’euros.</w:t>
      </w:r>
    </w:p>
    <w:p w14:paraId="6B85D09B" w14:textId="77777777" w:rsidR="00592408" w:rsidRDefault="00592408" w:rsidP="007A1928"/>
    <w:p w14:paraId="107190E2" w14:textId="6FCFDBA8" w:rsidR="007A1928" w:rsidRDefault="007A1928" w:rsidP="007A1928"/>
    <w:p w14:paraId="142AA6A8" w14:textId="2DE43F1E" w:rsidR="007A1928" w:rsidRDefault="007A1928" w:rsidP="007A1928">
      <w:pPr>
        <w:pStyle w:val="Titre2"/>
      </w:pPr>
      <w:r>
        <w:t xml:space="preserve">§2. La fraude à la TVA </w:t>
      </w:r>
    </w:p>
    <w:p w14:paraId="285629CB" w14:textId="0C8E224F" w:rsidR="007A1928" w:rsidRDefault="007A1928" w:rsidP="007A1928"/>
    <w:p w14:paraId="316E47EE" w14:textId="40DC0109" w:rsidR="007A1928" w:rsidRDefault="007A1928" w:rsidP="007A1928">
      <w:r>
        <w:t xml:space="preserve">Sur le plan européen, la Commission européenne évalue à </w:t>
      </w:r>
      <w:r w:rsidRPr="00BB4B48">
        <w:rPr>
          <w:b/>
          <w:color w:val="832C6B"/>
        </w:rPr>
        <w:t>150 M</w:t>
      </w:r>
      <w:r w:rsidR="00BB4B48">
        <w:rPr>
          <w:b/>
          <w:color w:val="832C6B"/>
        </w:rPr>
        <w:t>illiards</w:t>
      </w:r>
      <w:r w:rsidRPr="00BB4B48">
        <w:rPr>
          <w:b/>
          <w:color w:val="832C6B"/>
        </w:rPr>
        <w:t xml:space="preserve"> d’euros</w:t>
      </w:r>
      <w:r>
        <w:t xml:space="preserve"> la fraude à la TVA au moyen des </w:t>
      </w:r>
      <w:r w:rsidR="00BB4B48">
        <w:t>carrousels</w:t>
      </w:r>
      <w:r>
        <w:t xml:space="preserve"> de TVA qui consistent à </w:t>
      </w:r>
      <w:r w:rsidRPr="00BB4B48">
        <w:rPr>
          <w:b/>
          <w:bCs/>
          <w:color w:val="832C6B"/>
        </w:rPr>
        <w:t>créer des sociétés qui disparaissent après avoir encaissé de la TVA sans la reverser au Trésor public</w:t>
      </w:r>
      <w:r>
        <w:t xml:space="preserve"> (technique de l’opérateur défaillant). Sur cette somme de 150 M</w:t>
      </w:r>
      <w:r w:rsidR="00BB4B48">
        <w:t>illiards</w:t>
      </w:r>
      <w:r>
        <w:t>, le tiers provient de la fraude transfrontalière. 80% de cette fraude européenne est commise par des industriels de la fraude lié</w:t>
      </w:r>
      <w:r w:rsidR="00BB4B48">
        <w:t>s</w:t>
      </w:r>
      <w:r>
        <w:t xml:space="preserve"> à des secteurs de pègre organisée.</w:t>
      </w:r>
    </w:p>
    <w:p w14:paraId="6ECA3D64" w14:textId="206BE7A2" w:rsidR="007A1928" w:rsidRDefault="007A1928" w:rsidP="007A1928">
      <w:r>
        <w:t xml:space="preserve">En France, la Cour des comptes évalue à </w:t>
      </w:r>
      <w:r w:rsidRPr="007116EF">
        <w:rPr>
          <w:b/>
        </w:rPr>
        <w:t>15 M</w:t>
      </w:r>
      <w:r w:rsidR="00BB4B48">
        <w:rPr>
          <w:b/>
        </w:rPr>
        <w:t>illiards</w:t>
      </w:r>
      <w:r w:rsidRPr="007116EF">
        <w:rPr>
          <w:b/>
        </w:rPr>
        <w:t xml:space="preserve"> d’euros</w:t>
      </w:r>
      <w:r>
        <w:t xml:space="preserve"> la fraude à la TVA. Cette somme de 15 M</w:t>
      </w:r>
      <w:r w:rsidR="00BB4B48">
        <w:t>illiards</w:t>
      </w:r>
      <w:r>
        <w:t xml:space="preserve"> manque chaque année à l’État.</w:t>
      </w:r>
    </w:p>
    <w:p w14:paraId="600DC4ED" w14:textId="0B48A92B" w:rsidR="007A1928" w:rsidRDefault="007A1928" w:rsidP="007A1928"/>
    <w:p w14:paraId="7D8E8DC4" w14:textId="7FFB285E" w:rsidR="007A1928" w:rsidRDefault="007A1928" w:rsidP="007A1928">
      <w:pPr>
        <w:pStyle w:val="Titre2"/>
      </w:pPr>
      <w:r>
        <w:t xml:space="preserve">§3. Les dépenses fiscales résultant de la TVA en France </w:t>
      </w:r>
    </w:p>
    <w:p w14:paraId="614893EF" w14:textId="38602658" w:rsidR="007A1928" w:rsidRDefault="007A1928" w:rsidP="007A1928"/>
    <w:tbl>
      <w:tblPr>
        <w:tblStyle w:val="Grilledutableau"/>
        <w:tblW w:w="0" w:type="auto"/>
        <w:tblLook w:val="04A0" w:firstRow="1" w:lastRow="0" w:firstColumn="1" w:lastColumn="0" w:noHBand="0" w:noVBand="1"/>
      </w:tblPr>
      <w:tblGrid>
        <w:gridCol w:w="2100"/>
        <w:gridCol w:w="2046"/>
        <w:gridCol w:w="2046"/>
        <w:gridCol w:w="2046"/>
        <w:gridCol w:w="1956"/>
      </w:tblGrid>
      <w:tr w:rsidR="009F3BCD" w14:paraId="005C8C00" w14:textId="62E84CCC" w:rsidTr="00B20ADD">
        <w:tc>
          <w:tcPr>
            <w:tcW w:w="2100" w:type="dxa"/>
          </w:tcPr>
          <w:p w14:paraId="13400CA1" w14:textId="6222D88D" w:rsidR="009F3BCD" w:rsidRPr="00B20ADD" w:rsidRDefault="009F3BCD" w:rsidP="007A1928">
            <w:pPr>
              <w:jc w:val="center"/>
              <w:rPr>
                <w:sz w:val="28"/>
                <w:szCs w:val="28"/>
              </w:rPr>
            </w:pPr>
            <w:r w:rsidRPr="00B20ADD">
              <w:rPr>
                <w:sz w:val="28"/>
                <w:szCs w:val="28"/>
              </w:rPr>
              <w:t>Dépenses fiscales</w:t>
            </w:r>
          </w:p>
        </w:tc>
        <w:tc>
          <w:tcPr>
            <w:tcW w:w="2046" w:type="dxa"/>
          </w:tcPr>
          <w:p w14:paraId="1B3144DF" w14:textId="4D1BA306" w:rsidR="009F3BCD" w:rsidRPr="00B20ADD" w:rsidRDefault="009F3BCD" w:rsidP="00B20ADD">
            <w:pPr>
              <w:jc w:val="center"/>
              <w:rPr>
                <w:sz w:val="28"/>
                <w:szCs w:val="28"/>
              </w:rPr>
            </w:pPr>
            <w:r w:rsidRPr="00B20ADD">
              <w:rPr>
                <w:sz w:val="28"/>
                <w:szCs w:val="28"/>
              </w:rPr>
              <w:t>2018</w:t>
            </w:r>
          </w:p>
        </w:tc>
        <w:tc>
          <w:tcPr>
            <w:tcW w:w="2046" w:type="dxa"/>
          </w:tcPr>
          <w:p w14:paraId="4C2BE452" w14:textId="655AC3B1" w:rsidR="009F3BCD" w:rsidRPr="00B20ADD" w:rsidRDefault="009F3BCD" w:rsidP="00B20ADD">
            <w:pPr>
              <w:jc w:val="center"/>
              <w:rPr>
                <w:sz w:val="28"/>
                <w:szCs w:val="28"/>
              </w:rPr>
            </w:pPr>
            <w:r w:rsidRPr="00B20ADD">
              <w:rPr>
                <w:sz w:val="28"/>
                <w:szCs w:val="28"/>
              </w:rPr>
              <w:t>2019</w:t>
            </w:r>
          </w:p>
        </w:tc>
        <w:tc>
          <w:tcPr>
            <w:tcW w:w="2046" w:type="dxa"/>
          </w:tcPr>
          <w:p w14:paraId="4AE2F84D" w14:textId="1F4EC272" w:rsidR="009F3BCD" w:rsidRPr="00B20ADD" w:rsidRDefault="009F3BCD" w:rsidP="00B20ADD">
            <w:pPr>
              <w:jc w:val="center"/>
              <w:rPr>
                <w:sz w:val="28"/>
                <w:szCs w:val="28"/>
              </w:rPr>
            </w:pPr>
            <w:r w:rsidRPr="00B20ADD">
              <w:rPr>
                <w:sz w:val="28"/>
                <w:szCs w:val="28"/>
              </w:rPr>
              <w:t>2020</w:t>
            </w:r>
          </w:p>
        </w:tc>
        <w:tc>
          <w:tcPr>
            <w:tcW w:w="1956" w:type="dxa"/>
          </w:tcPr>
          <w:p w14:paraId="04D71C1C" w14:textId="74683350" w:rsidR="009F3BCD" w:rsidRPr="00B20ADD" w:rsidRDefault="009F3BCD" w:rsidP="00B20ADD">
            <w:pPr>
              <w:jc w:val="center"/>
              <w:rPr>
                <w:sz w:val="28"/>
                <w:szCs w:val="28"/>
              </w:rPr>
            </w:pPr>
            <w:r w:rsidRPr="00B20ADD">
              <w:rPr>
                <w:sz w:val="28"/>
                <w:szCs w:val="28"/>
              </w:rPr>
              <w:t>2021</w:t>
            </w:r>
          </w:p>
        </w:tc>
      </w:tr>
      <w:tr w:rsidR="009F3BCD" w14:paraId="4EA59D41" w14:textId="4B5E0429" w:rsidTr="00B20ADD">
        <w:tc>
          <w:tcPr>
            <w:tcW w:w="2100" w:type="dxa"/>
          </w:tcPr>
          <w:p w14:paraId="7973904C" w14:textId="79ED6832" w:rsidR="009F3BCD" w:rsidRPr="00B20ADD" w:rsidRDefault="009F3BCD" w:rsidP="007A1928">
            <w:pPr>
              <w:jc w:val="center"/>
              <w:rPr>
                <w:sz w:val="28"/>
                <w:szCs w:val="28"/>
              </w:rPr>
            </w:pPr>
            <w:r w:rsidRPr="00B20ADD">
              <w:rPr>
                <w:sz w:val="28"/>
                <w:szCs w:val="28"/>
              </w:rPr>
              <w:t xml:space="preserve">Dépenses fiscales TVA </w:t>
            </w:r>
          </w:p>
        </w:tc>
        <w:tc>
          <w:tcPr>
            <w:tcW w:w="2046" w:type="dxa"/>
          </w:tcPr>
          <w:p w14:paraId="6173AB92" w14:textId="0AE55A26" w:rsidR="009F3BCD" w:rsidRPr="00B20ADD" w:rsidRDefault="009F3BCD" w:rsidP="00B20ADD">
            <w:pPr>
              <w:jc w:val="center"/>
              <w:rPr>
                <w:sz w:val="28"/>
                <w:szCs w:val="28"/>
              </w:rPr>
            </w:pPr>
            <w:r w:rsidRPr="00B20ADD">
              <w:rPr>
                <w:sz w:val="28"/>
                <w:szCs w:val="28"/>
              </w:rPr>
              <w:t>17,4</w:t>
            </w:r>
          </w:p>
        </w:tc>
        <w:tc>
          <w:tcPr>
            <w:tcW w:w="2046" w:type="dxa"/>
          </w:tcPr>
          <w:p w14:paraId="2D89E0EC" w14:textId="25DCBA84" w:rsidR="009F3BCD" w:rsidRPr="00B20ADD" w:rsidRDefault="009F3BCD" w:rsidP="00B20ADD">
            <w:pPr>
              <w:jc w:val="center"/>
              <w:rPr>
                <w:sz w:val="28"/>
                <w:szCs w:val="28"/>
              </w:rPr>
            </w:pPr>
            <w:r w:rsidRPr="00B20ADD">
              <w:rPr>
                <w:sz w:val="28"/>
                <w:szCs w:val="28"/>
              </w:rPr>
              <w:t>17,7</w:t>
            </w:r>
          </w:p>
        </w:tc>
        <w:tc>
          <w:tcPr>
            <w:tcW w:w="2046" w:type="dxa"/>
          </w:tcPr>
          <w:p w14:paraId="1D869242" w14:textId="7F63B476" w:rsidR="009F3BCD" w:rsidRPr="00B20ADD" w:rsidRDefault="009F3BCD" w:rsidP="00B20ADD">
            <w:pPr>
              <w:jc w:val="center"/>
              <w:rPr>
                <w:sz w:val="28"/>
                <w:szCs w:val="28"/>
              </w:rPr>
            </w:pPr>
            <w:r w:rsidRPr="00B20ADD">
              <w:rPr>
                <w:sz w:val="28"/>
                <w:szCs w:val="28"/>
              </w:rPr>
              <w:t>18,0</w:t>
            </w:r>
          </w:p>
        </w:tc>
        <w:tc>
          <w:tcPr>
            <w:tcW w:w="1956" w:type="dxa"/>
          </w:tcPr>
          <w:p w14:paraId="70D27641" w14:textId="2E87A80F" w:rsidR="009F3BCD" w:rsidRPr="00B20ADD" w:rsidRDefault="009F3BCD" w:rsidP="00B20ADD">
            <w:pPr>
              <w:jc w:val="center"/>
              <w:rPr>
                <w:sz w:val="28"/>
                <w:szCs w:val="28"/>
              </w:rPr>
            </w:pPr>
            <w:r w:rsidRPr="00B20ADD">
              <w:rPr>
                <w:sz w:val="28"/>
                <w:szCs w:val="28"/>
              </w:rPr>
              <w:t>16,5</w:t>
            </w:r>
          </w:p>
        </w:tc>
      </w:tr>
      <w:tr w:rsidR="009F3BCD" w14:paraId="29BCFAA3" w14:textId="550F81E4" w:rsidTr="00B20ADD">
        <w:tc>
          <w:tcPr>
            <w:tcW w:w="2100" w:type="dxa"/>
          </w:tcPr>
          <w:p w14:paraId="428EB80E" w14:textId="493DA6B0" w:rsidR="009F3BCD" w:rsidRPr="00B20ADD" w:rsidRDefault="009F3BCD" w:rsidP="007A1928">
            <w:pPr>
              <w:jc w:val="center"/>
              <w:rPr>
                <w:sz w:val="28"/>
                <w:szCs w:val="28"/>
              </w:rPr>
            </w:pPr>
            <w:r w:rsidRPr="00B20ADD">
              <w:rPr>
                <w:sz w:val="28"/>
                <w:szCs w:val="28"/>
              </w:rPr>
              <w:t xml:space="preserve">Dépenses fiscales Totales </w:t>
            </w:r>
          </w:p>
        </w:tc>
        <w:tc>
          <w:tcPr>
            <w:tcW w:w="2046" w:type="dxa"/>
          </w:tcPr>
          <w:p w14:paraId="7837CB12" w14:textId="25470C29" w:rsidR="009F3BCD" w:rsidRPr="00B20ADD" w:rsidRDefault="009F3BCD" w:rsidP="00B20ADD">
            <w:pPr>
              <w:jc w:val="center"/>
              <w:rPr>
                <w:sz w:val="28"/>
                <w:szCs w:val="28"/>
              </w:rPr>
            </w:pPr>
            <w:r w:rsidRPr="00B20ADD">
              <w:rPr>
                <w:sz w:val="28"/>
                <w:szCs w:val="28"/>
              </w:rPr>
              <w:t>98,9</w:t>
            </w:r>
          </w:p>
        </w:tc>
        <w:tc>
          <w:tcPr>
            <w:tcW w:w="2046" w:type="dxa"/>
          </w:tcPr>
          <w:p w14:paraId="0F767784" w14:textId="56AF5DD3" w:rsidR="009F3BCD" w:rsidRPr="00B20ADD" w:rsidRDefault="009F3BCD" w:rsidP="00B20ADD">
            <w:pPr>
              <w:jc w:val="center"/>
              <w:rPr>
                <w:sz w:val="28"/>
                <w:szCs w:val="28"/>
              </w:rPr>
            </w:pPr>
            <w:r w:rsidRPr="00B20ADD">
              <w:rPr>
                <w:sz w:val="28"/>
                <w:szCs w:val="28"/>
              </w:rPr>
              <w:t>99,4</w:t>
            </w:r>
          </w:p>
        </w:tc>
        <w:tc>
          <w:tcPr>
            <w:tcW w:w="2046" w:type="dxa"/>
          </w:tcPr>
          <w:p w14:paraId="4ED3ADBD" w14:textId="31AA4A07" w:rsidR="009F3BCD" w:rsidRPr="00B20ADD" w:rsidRDefault="009F3BCD" w:rsidP="00B20ADD">
            <w:pPr>
              <w:jc w:val="center"/>
              <w:rPr>
                <w:sz w:val="28"/>
                <w:szCs w:val="28"/>
              </w:rPr>
            </w:pPr>
            <w:r w:rsidRPr="00B20ADD">
              <w:rPr>
                <w:sz w:val="28"/>
                <w:szCs w:val="28"/>
              </w:rPr>
              <w:t>90,0</w:t>
            </w:r>
          </w:p>
        </w:tc>
        <w:tc>
          <w:tcPr>
            <w:tcW w:w="1956" w:type="dxa"/>
          </w:tcPr>
          <w:p w14:paraId="4EF6DF6B" w14:textId="365645B2" w:rsidR="009F3BCD" w:rsidRPr="00B20ADD" w:rsidRDefault="009F3BCD" w:rsidP="00B20ADD">
            <w:pPr>
              <w:jc w:val="center"/>
              <w:rPr>
                <w:sz w:val="28"/>
                <w:szCs w:val="28"/>
              </w:rPr>
            </w:pPr>
            <w:r w:rsidRPr="00B20ADD">
              <w:rPr>
                <w:sz w:val="28"/>
                <w:szCs w:val="28"/>
              </w:rPr>
              <w:t>92,7</w:t>
            </w:r>
          </w:p>
        </w:tc>
      </w:tr>
      <w:tr w:rsidR="009F3BCD" w14:paraId="0C782739" w14:textId="6FE5F2AC" w:rsidTr="00B20ADD">
        <w:tc>
          <w:tcPr>
            <w:tcW w:w="2100" w:type="dxa"/>
          </w:tcPr>
          <w:p w14:paraId="51E803EC" w14:textId="38C02112" w:rsidR="009F3BCD" w:rsidRPr="00B20ADD" w:rsidRDefault="009F3BCD" w:rsidP="007A1928">
            <w:pPr>
              <w:jc w:val="center"/>
              <w:rPr>
                <w:sz w:val="28"/>
                <w:szCs w:val="28"/>
              </w:rPr>
            </w:pPr>
            <w:r w:rsidRPr="00B20ADD">
              <w:rPr>
                <w:sz w:val="28"/>
                <w:szCs w:val="28"/>
              </w:rPr>
              <w:t>%</w:t>
            </w:r>
          </w:p>
        </w:tc>
        <w:tc>
          <w:tcPr>
            <w:tcW w:w="2046" w:type="dxa"/>
          </w:tcPr>
          <w:p w14:paraId="4CEB643A" w14:textId="7D4FAEBE" w:rsidR="009F3BCD" w:rsidRPr="00B20ADD" w:rsidRDefault="009F3BCD" w:rsidP="00B20ADD">
            <w:pPr>
              <w:jc w:val="center"/>
              <w:rPr>
                <w:sz w:val="28"/>
                <w:szCs w:val="28"/>
              </w:rPr>
            </w:pPr>
            <w:r w:rsidRPr="00B20ADD">
              <w:rPr>
                <w:sz w:val="28"/>
                <w:szCs w:val="28"/>
              </w:rPr>
              <w:t>17,6%</w:t>
            </w:r>
          </w:p>
        </w:tc>
        <w:tc>
          <w:tcPr>
            <w:tcW w:w="2046" w:type="dxa"/>
          </w:tcPr>
          <w:p w14:paraId="7D70E9B2" w14:textId="199536BF" w:rsidR="009F3BCD" w:rsidRPr="00B20ADD" w:rsidRDefault="009F3BCD" w:rsidP="00B20ADD">
            <w:pPr>
              <w:jc w:val="center"/>
              <w:rPr>
                <w:sz w:val="28"/>
                <w:szCs w:val="28"/>
              </w:rPr>
            </w:pPr>
            <w:r w:rsidRPr="00B20ADD">
              <w:rPr>
                <w:sz w:val="28"/>
                <w:szCs w:val="28"/>
              </w:rPr>
              <w:t>17,8%</w:t>
            </w:r>
          </w:p>
        </w:tc>
        <w:tc>
          <w:tcPr>
            <w:tcW w:w="2046" w:type="dxa"/>
          </w:tcPr>
          <w:p w14:paraId="6FC24FB1" w14:textId="5E36C32F" w:rsidR="009F3BCD" w:rsidRPr="00B20ADD" w:rsidRDefault="009F3BCD" w:rsidP="00B20ADD">
            <w:pPr>
              <w:jc w:val="center"/>
              <w:rPr>
                <w:sz w:val="28"/>
                <w:szCs w:val="28"/>
              </w:rPr>
            </w:pPr>
            <w:r w:rsidRPr="00B20ADD">
              <w:rPr>
                <w:sz w:val="28"/>
                <w:szCs w:val="28"/>
              </w:rPr>
              <w:t>20,0%</w:t>
            </w:r>
          </w:p>
        </w:tc>
        <w:tc>
          <w:tcPr>
            <w:tcW w:w="1956" w:type="dxa"/>
          </w:tcPr>
          <w:p w14:paraId="639B926A" w14:textId="18531D30" w:rsidR="009F3BCD" w:rsidRPr="00B20ADD" w:rsidRDefault="009F3BCD" w:rsidP="00B20ADD">
            <w:pPr>
              <w:jc w:val="center"/>
              <w:rPr>
                <w:sz w:val="28"/>
                <w:szCs w:val="28"/>
              </w:rPr>
            </w:pPr>
            <w:r w:rsidRPr="00B20ADD">
              <w:rPr>
                <w:sz w:val="28"/>
                <w:szCs w:val="28"/>
              </w:rPr>
              <w:t>17,8%</w:t>
            </w:r>
          </w:p>
        </w:tc>
      </w:tr>
    </w:tbl>
    <w:p w14:paraId="5BABD4BC" w14:textId="77777777" w:rsidR="007A1928" w:rsidRDefault="007A1928" w:rsidP="007A1928">
      <w:pPr>
        <w:jc w:val="center"/>
      </w:pPr>
    </w:p>
    <w:p w14:paraId="4A23144D" w14:textId="457BF432" w:rsidR="007A1928" w:rsidRDefault="007A1928" w:rsidP="007A1928">
      <w:r>
        <w:t>Quelle est l’origine des dépenses fiscales de TVA les plus coûteuses pour le budget général de l’</w:t>
      </w:r>
      <w:r w:rsidR="00BB4B48">
        <w:t>État</w:t>
      </w:r>
      <w:r>
        <w:t xml:space="preserve"> ? </w:t>
      </w:r>
    </w:p>
    <w:p w14:paraId="20E03A49" w14:textId="77777777" w:rsidR="00BB4B48" w:rsidRDefault="007A1928" w:rsidP="007A1928">
      <w:pPr>
        <w:pStyle w:val="Paragraphedeliste"/>
        <w:numPr>
          <w:ilvl w:val="0"/>
          <w:numId w:val="30"/>
        </w:numPr>
      </w:pPr>
      <w:r>
        <w:t>3,5 M</w:t>
      </w:r>
      <w:r w:rsidR="00BB4B48">
        <w:t>illiards</w:t>
      </w:r>
      <w:r>
        <w:t xml:space="preserve"> pour le taux de 10% sur les travaux sur l’habitation principale</w:t>
      </w:r>
      <w:r w:rsidR="00BB4B48">
        <w:t>.</w:t>
      </w:r>
    </w:p>
    <w:p w14:paraId="40A89942" w14:textId="77777777" w:rsidR="00BB4B48" w:rsidRDefault="007A1928" w:rsidP="007A1928">
      <w:pPr>
        <w:pStyle w:val="Paragraphedeliste"/>
        <w:numPr>
          <w:ilvl w:val="0"/>
          <w:numId w:val="30"/>
        </w:numPr>
      </w:pPr>
      <w:r>
        <w:t>3,0 M</w:t>
      </w:r>
      <w:r w:rsidR="00BB4B48">
        <w:t>illiards</w:t>
      </w:r>
      <w:r>
        <w:t xml:space="preserve"> pour le taux de 10% sur la restauration</w:t>
      </w:r>
      <w:r w:rsidR="00BB4B48">
        <w:t>.</w:t>
      </w:r>
    </w:p>
    <w:p w14:paraId="36C12027" w14:textId="77777777" w:rsidR="00BB4B48" w:rsidRDefault="007A1928" w:rsidP="007A1928">
      <w:pPr>
        <w:pStyle w:val="Paragraphedeliste"/>
        <w:numPr>
          <w:ilvl w:val="0"/>
          <w:numId w:val="30"/>
        </w:numPr>
      </w:pPr>
      <w:r>
        <w:t>2,4 M</w:t>
      </w:r>
      <w:r w:rsidR="00BB4B48">
        <w:t>illiards</w:t>
      </w:r>
      <w:r>
        <w:t xml:space="preserve"> pour les baisses de taux dans les DOM</w:t>
      </w:r>
      <w:r w:rsidR="00BB4B48">
        <w:t>.</w:t>
      </w:r>
    </w:p>
    <w:p w14:paraId="20FEB426" w14:textId="77777777" w:rsidR="00BB4B48" w:rsidRDefault="007A1928" w:rsidP="007A1928">
      <w:pPr>
        <w:pStyle w:val="Paragraphedeliste"/>
        <w:numPr>
          <w:ilvl w:val="0"/>
          <w:numId w:val="30"/>
        </w:numPr>
      </w:pPr>
      <w:r>
        <w:t>1,2 M</w:t>
      </w:r>
      <w:r w:rsidR="00BB4B48">
        <w:t>illiard</w:t>
      </w:r>
      <w:r>
        <w:t xml:space="preserve"> pour le taux de 5,5% sur les travaux énergétiques</w:t>
      </w:r>
      <w:r w:rsidR="00BB4B48">
        <w:t xml:space="preserve">. </w:t>
      </w:r>
    </w:p>
    <w:p w14:paraId="0A44435B" w14:textId="77777777" w:rsidR="00BB4B48" w:rsidRDefault="007A1928" w:rsidP="007A1928">
      <w:pPr>
        <w:pStyle w:val="Paragraphedeliste"/>
        <w:numPr>
          <w:ilvl w:val="0"/>
          <w:numId w:val="30"/>
        </w:numPr>
      </w:pPr>
      <w:r>
        <w:t>0,9 M</w:t>
      </w:r>
      <w:r w:rsidR="00BB4B48">
        <w:t>illiard</w:t>
      </w:r>
      <w:r>
        <w:t xml:space="preserve"> pour le taux de 10% sur les cantines scolaires</w:t>
      </w:r>
      <w:r w:rsidR="00BB4B48">
        <w:t>.</w:t>
      </w:r>
    </w:p>
    <w:p w14:paraId="665D7300" w14:textId="77777777" w:rsidR="00BB4B48" w:rsidRDefault="007A1928" w:rsidP="007A1928">
      <w:pPr>
        <w:pStyle w:val="Paragraphedeliste"/>
        <w:numPr>
          <w:ilvl w:val="0"/>
          <w:numId w:val="30"/>
        </w:numPr>
      </w:pPr>
      <w:r>
        <w:t>0,8 M</w:t>
      </w:r>
      <w:r w:rsidR="00BB4B48">
        <w:t>illiard</w:t>
      </w:r>
      <w:r>
        <w:t xml:space="preserve"> pour le taux de 10% sur l’hôtellerie</w:t>
      </w:r>
      <w:r w:rsidR="00BB4B48">
        <w:t>.</w:t>
      </w:r>
    </w:p>
    <w:p w14:paraId="46D0BAE8" w14:textId="77777777" w:rsidR="00BB4B48" w:rsidRDefault="007A1928" w:rsidP="007A1928">
      <w:pPr>
        <w:pStyle w:val="Paragraphedeliste"/>
        <w:numPr>
          <w:ilvl w:val="0"/>
          <w:numId w:val="30"/>
        </w:numPr>
      </w:pPr>
      <w:r>
        <w:t>0,7 M</w:t>
      </w:r>
      <w:r w:rsidR="00BB4B48">
        <w:t>illiard</w:t>
      </w:r>
      <w:r>
        <w:t xml:space="preserve"> pour les exonérations bénéficiant aux associations</w:t>
      </w:r>
      <w:r w:rsidR="00BB4B48">
        <w:t>.</w:t>
      </w:r>
    </w:p>
    <w:p w14:paraId="2A7ECEBA" w14:textId="77777777" w:rsidR="00BB4B48" w:rsidRDefault="007A1928" w:rsidP="007A1928">
      <w:pPr>
        <w:pStyle w:val="Paragraphedeliste"/>
        <w:numPr>
          <w:ilvl w:val="0"/>
          <w:numId w:val="30"/>
        </w:numPr>
      </w:pPr>
      <w:r>
        <w:t>0,5 M</w:t>
      </w:r>
      <w:r w:rsidR="00BB4B48">
        <w:t>illiard</w:t>
      </w:r>
      <w:r>
        <w:t xml:space="preserve"> pour le taux de 5,5% sur les spectacles de théâtre et de cirque</w:t>
      </w:r>
      <w:r w:rsidR="00BB4B48">
        <w:t>.</w:t>
      </w:r>
    </w:p>
    <w:p w14:paraId="69733AFA" w14:textId="77777777" w:rsidR="00BB4B48" w:rsidRDefault="007A1928" w:rsidP="007A1928">
      <w:pPr>
        <w:pStyle w:val="Paragraphedeliste"/>
        <w:numPr>
          <w:ilvl w:val="0"/>
          <w:numId w:val="30"/>
        </w:numPr>
      </w:pPr>
      <w:r w:rsidRPr="007A1928">
        <w:t>0,2 M</w:t>
      </w:r>
      <w:r w:rsidR="00BB4B48">
        <w:t>illiard</w:t>
      </w:r>
      <w:r w:rsidRPr="007A1928">
        <w:t xml:space="preserve"> pour le taux de 10% sur les campings</w:t>
      </w:r>
      <w:r w:rsidR="00BB4B48">
        <w:t>.</w:t>
      </w:r>
    </w:p>
    <w:p w14:paraId="556BA494" w14:textId="77777777" w:rsidR="00BB4B48" w:rsidRDefault="007A1928" w:rsidP="007A1928">
      <w:pPr>
        <w:pStyle w:val="Paragraphedeliste"/>
        <w:numPr>
          <w:ilvl w:val="0"/>
          <w:numId w:val="30"/>
        </w:numPr>
      </w:pPr>
      <w:r>
        <w:t>0,2 M</w:t>
      </w:r>
      <w:r w:rsidR="00BB4B48">
        <w:t>illiard</w:t>
      </w:r>
      <w:r>
        <w:t xml:space="preserve"> pour le taux de 10% sur les foires et salons</w:t>
      </w:r>
      <w:r w:rsidR="00BB4B48">
        <w:t>.</w:t>
      </w:r>
    </w:p>
    <w:p w14:paraId="75B9F6A7" w14:textId="77777777" w:rsidR="00BB4B48" w:rsidRDefault="007A1928" w:rsidP="007A1928">
      <w:pPr>
        <w:pStyle w:val="Paragraphedeliste"/>
        <w:numPr>
          <w:ilvl w:val="0"/>
          <w:numId w:val="30"/>
        </w:numPr>
      </w:pPr>
      <w:r>
        <w:t>0,2 M</w:t>
      </w:r>
      <w:r w:rsidR="00BB4B48">
        <w:t>illiard</w:t>
      </w:r>
      <w:r>
        <w:t xml:space="preserve"> pour le taux de 10% pour les services d’aide à la personne</w:t>
      </w:r>
      <w:r w:rsidR="00BB4B48">
        <w:t>.</w:t>
      </w:r>
    </w:p>
    <w:p w14:paraId="5B533091" w14:textId="77777777" w:rsidR="00BB4B48" w:rsidRDefault="007A1928" w:rsidP="007A1928">
      <w:pPr>
        <w:pStyle w:val="Paragraphedeliste"/>
        <w:numPr>
          <w:ilvl w:val="0"/>
          <w:numId w:val="30"/>
        </w:numPr>
      </w:pPr>
      <w:r>
        <w:t>0,2 M</w:t>
      </w:r>
      <w:r w:rsidR="00BB4B48">
        <w:t xml:space="preserve">illiard </w:t>
      </w:r>
      <w:r>
        <w:t>pour les taux réduits en Corse</w:t>
      </w:r>
      <w:r w:rsidR="00BB4B48">
        <w:t>.</w:t>
      </w:r>
    </w:p>
    <w:p w14:paraId="6B5C2BCB" w14:textId="14B109CD" w:rsidR="007A1928" w:rsidRDefault="007A1928" w:rsidP="007A1928">
      <w:pPr>
        <w:pStyle w:val="Paragraphedeliste"/>
        <w:numPr>
          <w:ilvl w:val="0"/>
          <w:numId w:val="30"/>
        </w:numPr>
      </w:pPr>
      <w:r>
        <w:t>0,1 M</w:t>
      </w:r>
      <w:r w:rsidR="00BB4B48">
        <w:t>illiard</w:t>
      </w:r>
      <w:r>
        <w:t xml:space="preserve"> pour le taux de 2,1% sur les publications de presse</w:t>
      </w:r>
      <w:r w:rsidR="00BB4B48">
        <w:t>.</w:t>
      </w:r>
    </w:p>
    <w:p w14:paraId="7E7CE462" w14:textId="77777777" w:rsidR="00BB4B48" w:rsidRDefault="007A1928" w:rsidP="00BB4B48">
      <w:r>
        <w:t>Cet inventaire ne comptabilise pas d’autres réductions de TVA qui ne sont pas classées en dépenses fiscales et qui, pourtant, y ressemblent beaucoup. Ainsi, nous trouvons par exemple :</w:t>
      </w:r>
    </w:p>
    <w:p w14:paraId="3430F938" w14:textId="3ECA2FD0" w:rsidR="00BB4B48" w:rsidRDefault="007A1928" w:rsidP="00BB4B48">
      <w:pPr>
        <w:pStyle w:val="Exemple"/>
        <w:numPr>
          <w:ilvl w:val="0"/>
          <w:numId w:val="33"/>
        </w:numPr>
      </w:pPr>
      <w:r>
        <w:t xml:space="preserve">Le taux réduit </w:t>
      </w:r>
      <w:r w:rsidRPr="00BB4B48">
        <w:t>de</w:t>
      </w:r>
      <w:r>
        <w:t xml:space="preserve"> 5,5% sur les livres (2,67 M</w:t>
      </w:r>
      <w:r w:rsidR="00BB4B48">
        <w:t>illiards</w:t>
      </w:r>
      <w:r>
        <w:t xml:space="preserve"> de ventes, donc 0,147 M</w:t>
      </w:r>
      <w:r w:rsidR="00BB4B48">
        <w:t>illiard de perte</w:t>
      </w:r>
      <w:r>
        <w:t>)</w:t>
      </w:r>
      <w:r w:rsidR="00BB4B48">
        <w:t xml:space="preserve">. </w:t>
      </w:r>
    </w:p>
    <w:p w14:paraId="75C414ED" w14:textId="2D3EB544" w:rsidR="00BB4B48" w:rsidRDefault="007A1928" w:rsidP="007A1928">
      <w:pPr>
        <w:pStyle w:val="Exemple"/>
        <w:numPr>
          <w:ilvl w:val="0"/>
          <w:numId w:val="33"/>
        </w:numPr>
      </w:pPr>
      <w:r>
        <w:t>Le taux de 10% sur les transports publics de voyageurs (32,17 M</w:t>
      </w:r>
      <w:r w:rsidR="00BB4B48">
        <w:t>illiards</w:t>
      </w:r>
      <w:r>
        <w:t>, donc 3,2 M</w:t>
      </w:r>
      <w:r w:rsidR="00BB4B48">
        <w:t>illiards</w:t>
      </w:r>
      <w:r>
        <w:t>)</w:t>
      </w:r>
      <w:r w:rsidR="00BB4B48">
        <w:t>.</w:t>
      </w:r>
    </w:p>
    <w:p w14:paraId="0509063E" w14:textId="48858F68" w:rsidR="00BB4B48" w:rsidRDefault="007A1928" w:rsidP="007A1928">
      <w:pPr>
        <w:pStyle w:val="Exemple"/>
        <w:numPr>
          <w:ilvl w:val="0"/>
          <w:numId w:val="33"/>
        </w:numPr>
      </w:pPr>
      <w:r>
        <w:t>Le taux de 10% sur la collecte, le tri et le traitement des déchets (7 M</w:t>
      </w:r>
      <w:r w:rsidR="00BB4B48">
        <w:t>illiards</w:t>
      </w:r>
      <w:r>
        <w:t>, donc 0,7 M</w:t>
      </w:r>
      <w:r w:rsidR="00BB4B48">
        <w:t>illiard).</w:t>
      </w:r>
    </w:p>
    <w:p w14:paraId="63414D16" w14:textId="0029393D" w:rsidR="007A1928" w:rsidRDefault="007A1928" w:rsidP="007A1928">
      <w:pPr>
        <w:pStyle w:val="Exemple"/>
        <w:numPr>
          <w:ilvl w:val="0"/>
          <w:numId w:val="33"/>
        </w:numPr>
      </w:pPr>
      <w:r>
        <w:lastRenderedPageBreak/>
        <w:t>Le taux de 2,1% sur les médicaments remboursables (22,1 M</w:t>
      </w:r>
      <w:r w:rsidR="00BB4B48">
        <w:t>illiards</w:t>
      </w:r>
      <w:r>
        <w:t>, donc 1,9 M</w:t>
      </w:r>
      <w:r w:rsidR="00BB4B48">
        <w:t>illiard</w:t>
      </w:r>
      <w:r>
        <w:t xml:space="preserve"> correspondant à une perte de 10-2,1% = </w:t>
      </w:r>
      <w:r w:rsidRPr="00BB4B48">
        <w:rPr>
          <w:b/>
          <w:bCs/>
          <w:color w:val="832C6B"/>
        </w:rPr>
        <w:t>8,9%</w:t>
      </w:r>
      <w:r>
        <w:t xml:space="preserve">) </w:t>
      </w:r>
    </w:p>
    <w:p w14:paraId="5B3720B4" w14:textId="033E3C0B" w:rsidR="007A1928" w:rsidRDefault="007A1928" w:rsidP="007A1928">
      <w:r>
        <w:t>Ces 4 postes totalisent 5,9 M</w:t>
      </w:r>
      <w:r w:rsidR="00BB4B48">
        <w:t>illiards</w:t>
      </w:r>
      <w:r>
        <w:t xml:space="preserve"> d’euros mais il y en a d’autres</w:t>
      </w:r>
      <w:r w:rsidR="00BB4B48">
        <w:t>, c</w:t>
      </w:r>
      <w:r>
        <w:t xml:space="preserve">e qui pourrait grossir le volume des dépenses fiscales de 18 à 24 </w:t>
      </w:r>
      <w:r w:rsidR="00BB4B48">
        <w:t>Milliards</w:t>
      </w:r>
      <w:r>
        <w:t xml:space="preserve"> d’euros. </w:t>
      </w:r>
    </w:p>
    <w:p w14:paraId="71A95993" w14:textId="77777777" w:rsidR="007A1928" w:rsidRDefault="007A1928" w:rsidP="007A1928"/>
    <w:p w14:paraId="484EA8D7" w14:textId="77777777" w:rsidR="00D87839" w:rsidRDefault="00D87839" w:rsidP="00D87839"/>
    <w:p w14:paraId="0CB01933" w14:textId="77777777" w:rsidR="00D87839" w:rsidRPr="00224EF8" w:rsidRDefault="00D87839" w:rsidP="00D87839"/>
    <w:sectPr w:rsidR="00D87839" w:rsidRPr="00224EF8" w:rsidSect="0001551E">
      <w:footerReference w:type="even" r:id="rId60"/>
      <w:footerReference w:type="default" r:id="rId6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36533" w14:textId="77777777" w:rsidR="00BE55C6" w:rsidRDefault="00BE55C6" w:rsidP="00284B72">
      <w:pPr>
        <w:spacing w:after="0" w:line="240" w:lineRule="auto"/>
      </w:pPr>
      <w:r>
        <w:separator/>
      </w:r>
    </w:p>
  </w:endnote>
  <w:endnote w:type="continuationSeparator" w:id="0">
    <w:p w14:paraId="74A6ED5E" w14:textId="77777777" w:rsidR="00BE55C6" w:rsidRDefault="00BE55C6" w:rsidP="0028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Corps CS)">
    <w:panose1 w:val="00000000000000000000"/>
    <w:charset w:val="00"/>
    <w:family w:val="roman"/>
    <w:notTrueType/>
    <w:pitch w:val="default"/>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48414168"/>
      <w:docPartObj>
        <w:docPartGallery w:val="Page Numbers (Bottom of Page)"/>
        <w:docPartUnique/>
      </w:docPartObj>
    </w:sdtPr>
    <w:sdtEndPr>
      <w:rPr>
        <w:rStyle w:val="Numrodepage"/>
      </w:rPr>
    </w:sdtEndPr>
    <w:sdtContent>
      <w:p w14:paraId="0E54AF46" w14:textId="3C101A12" w:rsidR="007339C0" w:rsidRDefault="007339C0" w:rsidP="0069232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A4A4562" w14:textId="77777777" w:rsidR="007339C0" w:rsidRDefault="007339C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23624712"/>
      <w:docPartObj>
        <w:docPartGallery w:val="Page Numbers (Bottom of Page)"/>
        <w:docPartUnique/>
      </w:docPartObj>
    </w:sdtPr>
    <w:sdtEndPr>
      <w:rPr>
        <w:rStyle w:val="Numrodepage"/>
      </w:rPr>
    </w:sdtEndPr>
    <w:sdtContent>
      <w:p w14:paraId="52D34C64" w14:textId="28C54648" w:rsidR="007339C0" w:rsidRDefault="007339C0" w:rsidP="0069232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2AA8594" w14:textId="77777777" w:rsidR="007339C0" w:rsidRDefault="007339C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42DD4" w14:textId="77777777" w:rsidR="00BE55C6" w:rsidRDefault="00BE55C6" w:rsidP="00284B72">
      <w:pPr>
        <w:spacing w:after="0" w:line="240" w:lineRule="auto"/>
      </w:pPr>
      <w:r>
        <w:separator/>
      </w:r>
    </w:p>
  </w:footnote>
  <w:footnote w:type="continuationSeparator" w:id="0">
    <w:p w14:paraId="61B6E1DA" w14:textId="77777777" w:rsidR="00BE55C6" w:rsidRDefault="00BE55C6" w:rsidP="00284B72">
      <w:pPr>
        <w:spacing w:after="0" w:line="240" w:lineRule="auto"/>
      </w:pPr>
      <w:r>
        <w:continuationSeparator/>
      </w:r>
    </w:p>
  </w:footnote>
  <w:footnote w:id="1">
    <w:p w14:paraId="4C18BD6F" w14:textId="1C9C1B69" w:rsidR="00A565C4" w:rsidRPr="00583F39" w:rsidRDefault="00A565C4" w:rsidP="00DD1273">
      <w:pPr>
        <w:pStyle w:val="Notedebasdepage"/>
        <w:jc w:val="both"/>
        <w:rPr>
          <w:rFonts w:cs="Times New Roman (Corps CS)"/>
        </w:rPr>
      </w:pPr>
      <w:r w:rsidRPr="00583F39">
        <w:rPr>
          <w:rStyle w:val="Appelnotedebasdep"/>
          <w:rFonts w:cs="Times New Roman (Corps CS)"/>
        </w:rPr>
        <w:footnoteRef/>
      </w:r>
      <w:r w:rsidRPr="00583F39">
        <w:rPr>
          <w:rFonts w:cs="Times New Roman (Corps CS)"/>
        </w:rPr>
        <w:t xml:space="preserve"> NOR</w:t>
      </w:r>
      <w:r w:rsidR="004B78D3">
        <w:rPr>
          <w:rFonts w:cs="Times New Roman (Corps CS)"/>
        </w:rPr>
        <w:t>VE</w:t>
      </w:r>
      <w:r w:rsidRPr="00583F39">
        <w:rPr>
          <w:rFonts w:cs="Times New Roman (Corps CS)"/>
        </w:rPr>
        <w:t xml:space="preserve">GE = 25%. Ce qui fait qu’on peut retenir que le taux normal est très élevé dans les pays scandinaves avec 25% </w:t>
      </w:r>
      <w:r w:rsidR="004B78D3">
        <w:rPr>
          <w:rFonts w:cs="Times New Roman (Corps CS)"/>
        </w:rPr>
        <w:t>au</w:t>
      </w:r>
      <w:r w:rsidRPr="00583F39">
        <w:rPr>
          <w:rFonts w:cs="Times New Roman (Corps CS)"/>
        </w:rPr>
        <w:t xml:space="preserve"> D</w:t>
      </w:r>
      <w:r w:rsidR="004B78D3">
        <w:rPr>
          <w:rFonts w:cs="Times New Roman (Corps CS)"/>
        </w:rPr>
        <w:t>anemark</w:t>
      </w:r>
      <w:r w:rsidRPr="00583F39">
        <w:rPr>
          <w:rFonts w:cs="Times New Roman (Corps CS)"/>
        </w:rPr>
        <w:t xml:space="preserve">, </w:t>
      </w:r>
      <w:r w:rsidR="004B78D3">
        <w:rPr>
          <w:rFonts w:cs="Times New Roman (Corps CS)"/>
        </w:rPr>
        <w:t xml:space="preserve">en </w:t>
      </w:r>
      <w:r w:rsidRPr="00583F39">
        <w:rPr>
          <w:rFonts w:cs="Times New Roman (Corps CS)"/>
        </w:rPr>
        <w:t xml:space="preserve">Suède et </w:t>
      </w:r>
      <w:r w:rsidR="004B78D3">
        <w:rPr>
          <w:rFonts w:cs="Times New Roman (Corps CS)"/>
        </w:rPr>
        <w:t xml:space="preserve">en </w:t>
      </w:r>
      <w:r w:rsidRPr="00583F39">
        <w:rPr>
          <w:rFonts w:cs="Times New Roman (Corps CS)"/>
        </w:rPr>
        <w:t>Norvège + 24% pour la Finlande.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631F7"/>
    <w:multiLevelType w:val="hybridMultilevel"/>
    <w:tmpl w:val="136C94CA"/>
    <w:lvl w:ilvl="0" w:tplc="AD760F5E">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D90086E"/>
    <w:multiLevelType w:val="hybridMultilevel"/>
    <w:tmpl w:val="0EDA03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B15525"/>
    <w:multiLevelType w:val="hybridMultilevel"/>
    <w:tmpl w:val="8C8C6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523F1A"/>
    <w:multiLevelType w:val="hybridMultilevel"/>
    <w:tmpl w:val="341EBAD4"/>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162E0C52"/>
    <w:multiLevelType w:val="multilevel"/>
    <w:tmpl w:val="A8241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5231B3"/>
    <w:multiLevelType w:val="hybridMultilevel"/>
    <w:tmpl w:val="B7BE69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BD098D"/>
    <w:multiLevelType w:val="hybridMultilevel"/>
    <w:tmpl w:val="17BAA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15556A"/>
    <w:multiLevelType w:val="hybridMultilevel"/>
    <w:tmpl w:val="F86E19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C71278D"/>
    <w:multiLevelType w:val="hybridMultilevel"/>
    <w:tmpl w:val="06B499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1F3F41"/>
    <w:multiLevelType w:val="hybridMultilevel"/>
    <w:tmpl w:val="E1122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047419"/>
    <w:multiLevelType w:val="hybridMultilevel"/>
    <w:tmpl w:val="43F0C0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43F0292"/>
    <w:multiLevelType w:val="hybridMultilevel"/>
    <w:tmpl w:val="ADFAF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34420A32"/>
    <w:multiLevelType w:val="hybridMultilevel"/>
    <w:tmpl w:val="A3C2F59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37422BF3"/>
    <w:multiLevelType w:val="hybridMultilevel"/>
    <w:tmpl w:val="AE627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A6B5645"/>
    <w:multiLevelType w:val="hybridMultilevel"/>
    <w:tmpl w:val="DEF4D0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B90B32"/>
    <w:multiLevelType w:val="hybridMultilevel"/>
    <w:tmpl w:val="5BE0F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FE5458"/>
    <w:multiLevelType w:val="hybridMultilevel"/>
    <w:tmpl w:val="2A8A5F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31193C"/>
    <w:multiLevelType w:val="hybridMultilevel"/>
    <w:tmpl w:val="90081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061356"/>
    <w:multiLevelType w:val="hybridMultilevel"/>
    <w:tmpl w:val="EBD87F14"/>
    <w:lvl w:ilvl="0" w:tplc="F5B00804">
      <w:start w:val="1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A0A384F"/>
    <w:multiLevelType w:val="hybridMultilevel"/>
    <w:tmpl w:val="E17CD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ED1F56"/>
    <w:multiLevelType w:val="hybridMultilevel"/>
    <w:tmpl w:val="DB32A35C"/>
    <w:lvl w:ilvl="0" w:tplc="9940C974">
      <w:start w:val="2"/>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DC66D30"/>
    <w:multiLevelType w:val="hybridMultilevel"/>
    <w:tmpl w:val="2DE4E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F7560C"/>
    <w:multiLevelType w:val="hybridMultilevel"/>
    <w:tmpl w:val="AEDE08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CEB680B"/>
    <w:multiLevelType w:val="hybridMultilevel"/>
    <w:tmpl w:val="50901238"/>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4" w15:restartNumberingAfterBreak="0">
    <w:nsid w:val="60921A9B"/>
    <w:multiLevelType w:val="hybridMultilevel"/>
    <w:tmpl w:val="2BA84522"/>
    <w:lvl w:ilvl="0" w:tplc="8ED29628">
      <w:start w:val="2"/>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5" w15:restartNumberingAfterBreak="0">
    <w:nsid w:val="613457BE"/>
    <w:multiLevelType w:val="hybridMultilevel"/>
    <w:tmpl w:val="E020E9BE"/>
    <w:lvl w:ilvl="0" w:tplc="9940C974">
      <w:start w:val="2"/>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6" w15:restartNumberingAfterBreak="0">
    <w:nsid w:val="64D340B2"/>
    <w:multiLevelType w:val="hybridMultilevel"/>
    <w:tmpl w:val="5980140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7" w15:restartNumberingAfterBreak="0">
    <w:nsid w:val="667C7AA5"/>
    <w:multiLevelType w:val="hybridMultilevel"/>
    <w:tmpl w:val="A03817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B8D3F1E"/>
    <w:multiLevelType w:val="hybridMultilevel"/>
    <w:tmpl w:val="5F9C4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E1F6B6C"/>
    <w:multiLevelType w:val="hybridMultilevel"/>
    <w:tmpl w:val="A4B66C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0" w15:restartNumberingAfterBreak="0">
    <w:nsid w:val="6E476B32"/>
    <w:multiLevelType w:val="hybridMultilevel"/>
    <w:tmpl w:val="55C84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502867"/>
    <w:multiLevelType w:val="hybridMultilevel"/>
    <w:tmpl w:val="7696F12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2" w15:restartNumberingAfterBreak="0">
    <w:nsid w:val="72835CB3"/>
    <w:multiLevelType w:val="hybridMultilevel"/>
    <w:tmpl w:val="FDA2E56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15:restartNumberingAfterBreak="0">
    <w:nsid w:val="7C1035B4"/>
    <w:multiLevelType w:val="hybridMultilevel"/>
    <w:tmpl w:val="BB761012"/>
    <w:lvl w:ilvl="0" w:tplc="E75AF9EE">
      <w:start w:val="1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88244334">
    <w:abstractNumId w:val="2"/>
  </w:num>
  <w:num w:numId="2" w16cid:durableId="159471902">
    <w:abstractNumId w:val="27"/>
  </w:num>
  <w:num w:numId="3" w16cid:durableId="1871410634">
    <w:abstractNumId w:val="17"/>
  </w:num>
  <w:num w:numId="4" w16cid:durableId="1283154093">
    <w:abstractNumId w:val="7"/>
  </w:num>
  <w:num w:numId="5" w16cid:durableId="2113629044">
    <w:abstractNumId w:val="10"/>
  </w:num>
  <w:num w:numId="6" w16cid:durableId="354234777">
    <w:abstractNumId w:val="4"/>
  </w:num>
  <w:num w:numId="7" w16cid:durableId="576406086">
    <w:abstractNumId w:val="8"/>
  </w:num>
  <w:num w:numId="8" w16cid:durableId="1938052048">
    <w:abstractNumId w:val="24"/>
  </w:num>
  <w:num w:numId="9" w16cid:durableId="1917207470">
    <w:abstractNumId w:val="32"/>
  </w:num>
  <w:num w:numId="10" w16cid:durableId="2146044575">
    <w:abstractNumId w:val="23"/>
  </w:num>
  <w:num w:numId="11" w16cid:durableId="232085518">
    <w:abstractNumId w:val="18"/>
  </w:num>
  <w:num w:numId="12" w16cid:durableId="1620648452">
    <w:abstractNumId w:val="30"/>
  </w:num>
  <w:num w:numId="13" w16cid:durableId="2118477321">
    <w:abstractNumId w:val="9"/>
  </w:num>
  <w:num w:numId="14" w16cid:durableId="1566453450">
    <w:abstractNumId w:val="15"/>
  </w:num>
  <w:num w:numId="15" w16cid:durableId="966273231">
    <w:abstractNumId w:val="6"/>
  </w:num>
  <w:num w:numId="16" w16cid:durableId="1442526187">
    <w:abstractNumId w:val="0"/>
  </w:num>
  <w:num w:numId="17" w16cid:durableId="698705135">
    <w:abstractNumId w:val="11"/>
  </w:num>
  <w:num w:numId="18" w16cid:durableId="1799762542">
    <w:abstractNumId w:val="16"/>
  </w:num>
  <w:num w:numId="19" w16cid:durableId="1623263708">
    <w:abstractNumId w:val="29"/>
  </w:num>
  <w:num w:numId="20" w16cid:durableId="594939101">
    <w:abstractNumId w:val="3"/>
  </w:num>
  <w:num w:numId="21" w16cid:durableId="67701492">
    <w:abstractNumId w:val="21"/>
  </w:num>
  <w:num w:numId="22" w16cid:durableId="730806038">
    <w:abstractNumId w:val="19"/>
  </w:num>
  <w:num w:numId="23" w16cid:durableId="439107047">
    <w:abstractNumId w:val="1"/>
  </w:num>
  <w:num w:numId="24" w16cid:durableId="1264654263">
    <w:abstractNumId w:val="12"/>
  </w:num>
  <w:num w:numId="25" w16cid:durableId="1912545246">
    <w:abstractNumId w:val="25"/>
  </w:num>
  <w:num w:numId="26" w16cid:durableId="790324796">
    <w:abstractNumId w:val="20"/>
  </w:num>
  <w:num w:numId="27" w16cid:durableId="2102945042">
    <w:abstractNumId w:val="28"/>
  </w:num>
  <w:num w:numId="28" w16cid:durableId="1557085684">
    <w:abstractNumId w:val="14"/>
  </w:num>
  <w:num w:numId="29" w16cid:durableId="22026345">
    <w:abstractNumId w:val="22"/>
  </w:num>
  <w:num w:numId="30" w16cid:durableId="754596591">
    <w:abstractNumId w:val="13"/>
  </w:num>
  <w:num w:numId="31" w16cid:durableId="1176188958">
    <w:abstractNumId w:val="26"/>
  </w:num>
  <w:num w:numId="32" w16cid:durableId="775364910">
    <w:abstractNumId w:val="5"/>
  </w:num>
  <w:num w:numId="33" w16cid:durableId="1930041245">
    <w:abstractNumId w:val="31"/>
  </w:num>
  <w:num w:numId="34" w16cid:durableId="16913740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59"/>
    <w:rsid w:val="00004287"/>
    <w:rsid w:val="0001551E"/>
    <w:rsid w:val="0001741C"/>
    <w:rsid w:val="00021E9B"/>
    <w:rsid w:val="000374A6"/>
    <w:rsid w:val="0005262A"/>
    <w:rsid w:val="00062112"/>
    <w:rsid w:val="00062CFC"/>
    <w:rsid w:val="00067EE6"/>
    <w:rsid w:val="00082226"/>
    <w:rsid w:val="00096E1F"/>
    <w:rsid w:val="00096FC7"/>
    <w:rsid w:val="000A2812"/>
    <w:rsid w:val="000A62C2"/>
    <w:rsid w:val="000B2959"/>
    <w:rsid w:val="000C72A2"/>
    <w:rsid w:val="000D3E7E"/>
    <w:rsid w:val="001107C1"/>
    <w:rsid w:val="0011471A"/>
    <w:rsid w:val="00124427"/>
    <w:rsid w:val="00136E3B"/>
    <w:rsid w:val="001401CA"/>
    <w:rsid w:val="001464D4"/>
    <w:rsid w:val="001531DB"/>
    <w:rsid w:val="00166D88"/>
    <w:rsid w:val="001767D6"/>
    <w:rsid w:val="001B4D5E"/>
    <w:rsid w:val="001E25AD"/>
    <w:rsid w:val="001E644B"/>
    <w:rsid w:val="001F474B"/>
    <w:rsid w:val="00203C33"/>
    <w:rsid w:val="00213CFC"/>
    <w:rsid w:val="00224EF8"/>
    <w:rsid w:val="002376E6"/>
    <w:rsid w:val="00254EBD"/>
    <w:rsid w:val="00284B72"/>
    <w:rsid w:val="00291531"/>
    <w:rsid w:val="00295DC8"/>
    <w:rsid w:val="002D4DDA"/>
    <w:rsid w:val="002D78C5"/>
    <w:rsid w:val="00304E7B"/>
    <w:rsid w:val="00321A9B"/>
    <w:rsid w:val="00333641"/>
    <w:rsid w:val="0033751A"/>
    <w:rsid w:val="00344722"/>
    <w:rsid w:val="0034504F"/>
    <w:rsid w:val="003A405C"/>
    <w:rsid w:val="003B3B8D"/>
    <w:rsid w:val="003B592E"/>
    <w:rsid w:val="003C241D"/>
    <w:rsid w:val="003E03F4"/>
    <w:rsid w:val="003F062C"/>
    <w:rsid w:val="003F7A73"/>
    <w:rsid w:val="004310CC"/>
    <w:rsid w:val="0043449F"/>
    <w:rsid w:val="00440EE5"/>
    <w:rsid w:val="00451AD5"/>
    <w:rsid w:val="004701D4"/>
    <w:rsid w:val="004762C5"/>
    <w:rsid w:val="0048522C"/>
    <w:rsid w:val="004A019C"/>
    <w:rsid w:val="004A0EA3"/>
    <w:rsid w:val="004B78D3"/>
    <w:rsid w:val="004C6953"/>
    <w:rsid w:val="004D665E"/>
    <w:rsid w:val="004E4E3F"/>
    <w:rsid w:val="004F3AFF"/>
    <w:rsid w:val="0050574A"/>
    <w:rsid w:val="00512842"/>
    <w:rsid w:val="00514CF7"/>
    <w:rsid w:val="00525D25"/>
    <w:rsid w:val="005412A6"/>
    <w:rsid w:val="00544A7A"/>
    <w:rsid w:val="00546A08"/>
    <w:rsid w:val="005545C9"/>
    <w:rsid w:val="00583F39"/>
    <w:rsid w:val="00592408"/>
    <w:rsid w:val="00596583"/>
    <w:rsid w:val="005A6C06"/>
    <w:rsid w:val="005B1FB0"/>
    <w:rsid w:val="005B5052"/>
    <w:rsid w:val="005B7B8D"/>
    <w:rsid w:val="005C0DA3"/>
    <w:rsid w:val="005C4032"/>
    <w:rsid w:val="005E2369"/>
    <w:rsid w:val="005F4E00"/>
    <w:rsid w:val="00625641"/>
    <w:rsid w:val="00636F43"/>
    <w:rsid w:val="00643DCA"/>
    <w:rsid w:val="006479A9"/>
    <w:rsid w:val="0065019C"/>
    <w:rsid w:val="006549E8"/>
    <w:rsid w:val="00656B81"/>
    <w:rsid w:val="0068727B"/>
    <w:rsid w:val="0068739C"/>
    <w:rsid w:val="00697041"/>
    <w:rsid w:val="006972EC"/>
    <w:rsid w:val="006B07F6"/>
    <w:rsid w:val="006D5E2E"/>
    <w:rsid w:val="006F0A4B"/>
    <w:rsid w:val="006F7BCC"/>
    <w:rsid w:val="006F7C10"/>
    <w:rsid w:val="00704824"/>
    <w:rsid w:val="00716728"/>
    <w:rsid w:val="00730652"/>
    <w:rsid w:val="007339C0"/>
    <w:rsid w:val="00740B2D"/>
    <w:rsid w:val="00754378"/>
    <w:rsid w:val="007606F0"/>
    <w:rsid w:val="007655F7"/>
    <w:rsid w:val="007A1928"/>
    <w:rsid w:val="007D1601"/>
    <w:rsid w:val="007D78A5"/>
    <w:rsid w:val="007F52BA"/>
    <w:rsid w:val="00805EF3"/>
    <w:rsid w:val="00807E59"/>
    <w:rsid w:val="008157FC"/>
    <w:rsid w:val="00820DFA"/>
    <w:rsid w:val="00821E88"/>
    <w:rsid w:val="008302C7"/>
    <w:rsid w:val="00886FC9"/>
    <w:rsid w:val="008929A5"/>
    <w:rsid w:val="00894AE2"/>
    <w:rsid w:val="008C0F7B"/>
    <w:rsid w:val="008C2848"/>
    <w:rsid w:val="008C3683"/>
    <w:rsid w:val="008D6CAC"/>
    <w:rsid w:val="008E5791"/>
    <w:rsid w:val="008E670B"/>
    <w:rsid w:val="008F10E5"/>
    <w:rsid w:val="008F7F7B"/>
    <w:rsid w:val="00903B1E"/>
    <w:rsid w:val="009057D6"/>
    <w:rsid w:val="00944FC9"/>
    <w:rsid w:val="00954602"/>
    <w:rsid w:val="0096322D"/>
    <w:rsid w:val="00974BBF"/>
    <w:rsid w:val="00992984"/>
    <w:rsid w:val="009A0DBF"/>
    <w:rsid w:val="009B5CE3"/>
    <w:rsid w:val="009B620A"/>
    <w:rsid w:val="009B70BD"/>
    <w:rsid w:val="009C5A01"/>
    <w:rsid w:val="009D4AAB"/>
    <w:rsid w:val="009E5D97"/>
    <w:rsid w:val="009E650B"/>
    <w:rsid w:val="009F3BCD"/>
    <w:rsid w:val="00A12981"/>
    <w:rsid w:val="00A14A3C"/>
    <w:rsid w:val="00A2387B"/>
    <w:rsid w:val="00A41760"/>
    <w:rsid w:val="00A44963"/>
    <w:rsid w:val="00A478D7"/>
    <w:rsid w:val="00A565C4"/>
    <w:rsid w:val="00A605C1"/>
    <w:rsid w:val="00A73546"/>
    <w:rsid w:val="00A85847"/>
    <w:rsid w:val="00A918D3"/>
    <w:rsid w:val="00A92C6D"/>
    <w:rsid w:val="00AA3065"/>
    <w:rsid w:val="00AC1F42"/>
    <w:rsid w:val="00AC3339"/>
    <w:rsid w:val="00AE05CF"/>
    <w:rsid w:val="00AE18F4"/>
    <w:rsid w:val="00AF46A1"/>
    <w:rsid w:val="00B20ADD"/>
    <w:rsid w:val="00B26F0C"/>
    <w:rsid w:val="00B44AEE"/>
    <w:rsid w:val="00B61764"/>
    <w:rsid w:val="00B66B05"/>
    <w:rsid w:val="00B82B6D"/>
    <w:rsid w:val="00B909D0"/>
    <w:rsid w:val="00BB4B48"/>
    <w:rsid w:val="00BB78B0"/>
    <w:rsid w:val="00BD3423"/>
    <w:rsid w:val="00BE4B3E"/>
    <w:rsid w:val="00BE55C6"/>
    <w:rsid w:val="00BE66D8"/>
    <w:rsid w:val="00BF5466"/>
    <w:rsid w:val="00BF7F45"/>
    <w:rsid w:val="00C02F16"/>
    <w:rsid w:val="00C06978"/>
    <w:rsid w:val="00C559E0"/>
    <w:rsid w:val="00C74BDD"/>
    <w:rsid w:val="00C852A2"/>
    <w:rsid w:val="00C8656D"/>
    <w:rsid w:val="00C9159D"/>
    <w:rsid w:val="00C9329E"/>
    <w:rsid w:val="00CA0E28"/>
    <w:rsid w:val="00CB144A"/>
    <w:rsid w:val="00CB152A"/>
    <w:rsid w:val="00CC05D8"/>
    <w:rsid w:val="00CD4B40"/>
    <w:rsid w:val="00CE40F4"/>
    <w:rsid w:val="00D45BEC"/>
    <w:rsid w:val="00D5322A"/>
    <w:rsid w:val="00D707C7"/>
    <w:rsid w:val="00D87839"/>
    <w:rsid w:val="00D939E0"/>
    <w:rsid w:val="00DD1273"/>
    <w:rsid w:val="00DF7495"/>
    <w:rsid w:val="00E0443A"/>
    <w:rsid w:val="00E04A82"/>
    <w:rsid w:val="00E1011D"/>
    <w:rsid w:val="00E130E0"/>
    <w:rsid w:val="00E2316E"/>
    <w:rsid w:val="00E279D4"/>
    <w:rsid w:val="00E31D6F"/>
    <w:rsid w:val="00E33E7D"/>
    <w:rsid w:val="00E37E92"/>
    <w:rsid w:val="00E40183"/>
    <w:rsid w:val="00E61457"/>
    <w:rsid w:val="00E61981"/>
    <w:rsid w:val="00EB350C"/>
    <w:rsid w:val="00EC62F9"/>
    <w:rsid w:val="00EC7165"/>
    <w:rsid w:val="00F2671A"/>
    <w:rsid w:val="00F41983"/>
    <w:rsid w:val="00F64DBE"/>
    <w:rsid w:val="00FB0811"/>
    <w:rsid w:val="00FB5268"/>
    <w:rsid w:val="00FF3D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72FA"/>
  <w15:docId w15:val="{E102601D-E622-684B-B7FB-9C4E2156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DD"/>
  </w:style>
  <w:style w:type="paragraph" w:styleId="Titre1">
    <w:name w:val="heading 1"/>
    <w:basedOn w:val="Normal"/>
    <w:next w:val="Normal"/>
    <w:link w:val="Titre1Car"/>
    <w:uiPriority w:val="9"/>
    <w:qFormat/>
    <w:rsid w:val="005412A6"/>
    <w:pPr>
      <w:keepNext/>
      <w:keepLines/>
      <w:pBdr>
        <w:bottom w:val="single" w:sz="2" w:space="1" w:color="D9D9D9" w:themeColor="background1" w:themeShade="D9"/>
      </w:pBdr>
      <w:spacing w:before="240" w:after="0"/>
      <w:outlineLvl w:val="0"/>
    </w:pPr>
    <w:rPr>
      <w:rFonts w:asciiTheme="majorHAnsi" w:eastAsiaTheme="majorEastAsia" w:hAnsiTheme="majorHAnsi" w:cstheme="majorBidi"/>
      <w:color w:val="832C6B"/>
      <w:sz w:val="48"/>
      <w:szCs w:val="32"/>
    </w:rPr>
  </w:style>
  <w:style w:type="paragraph" w:styleId="Titre2">
    <w:name w:val="heading 2"/>
    <w:basedOn w:val="Normal"/>
    <w:next w:val="Normal"/>
    <w:link w:val="Titre2Car"/>
    <w:uiPriority w:val="9"/>
    <w:unhideWhenUsed/>
    <w:qFormat/>
    <w:rsid w:val="005412A6"/>
    <w:pPr>
      <w:keepNext/>
      <w:keepLines/>
      <w:pBdr>
        <w:bottom w:val="single" w:sz="2" w:space="1" w:color="D9D9D9" w:themeColor="background1" w:themeShade="D9"/>
      </w:pBdr>
      <w:spacing w:before="40" w:after="0"/>
      <w:outlineLvl w:val="1"/>
    </w:pPr>
    <w:rPr>
      <w:rFonts w:asciiTheme="majorHAnsi" w:eastAsiaTheme="majorEastAsia" w:hAnsiTheme="majorHAnsi" w:cstheme="majorBidi"/>
      <w:color w:val="832C6B"/>
      <w:sz w:val="44"/>
      <w:szCs w:val="26"/>
    </w:rPr>
  </w:style>
  <w:style w:type="paragraph" w:styleId="Titre3">
    <w:name w:val="heading 3"/>
    <w:basedOn w:val="Normal"/>
    <w:next w:val="Normal"/>
    <w:link w:val="Titre3Car"/>
    <w:uiPriority w:val="9"/>
    <w:unhideWhenUsed/>
    <w:qFormat/>
    <w:rsid w:val="005412A6"/>
    <w:pPr>
      <w:keepNext/>
      <w:keepLines/>
      <w:pBdr>
        <w:bottom w:val="single" w:sz="2" w:space="1" w:color="D9D9D9" w:themeColor="background1" w:themeShade="D9"/>
      </w:pBdr>
      <w:spacing w:before="40" w:after="0"/>
      <w:outlineLvl w:val="2"/>
    </w:pPr>
    <w:rPr>
      <w:rFonts w:asciiTheme="majorHAnsi" w:eastAsiaTheme="majorEastAsia" w:hAnsiTheme="majorHAnsi" w:cstheme="majorBidi"/>
      <w:color w:val="832C6B"/>
      <w:sz w:val="40"/>
      <w:szCs w:val="24"/>
    </w:rPr>
  </w:style>
  <w:style w:type="paragraph" w:styleId="Titre4">
    <w:name w:val="heading 4"/>
    <w:basedOn w:val="Normal"/>
    <w:next w:val="Normal"/>
    <w:link w:val="Titre4Car"/>
    <w:uiPriority w:val="9"/>
    <w:unhideWhenUsed/>
    <w:qFormat/>
    <w:rsid w:val="005412A6"/>
    <w:pPr>
      <w:keepNext/>
      <w:keepLines/>
      <w:pBdr>
        <w:bottom w:val="single" w:sz="2" w:space="1" w:color="D9D9D9" w:themeColor="background1" w:themeShade="D9"/>
      </w:pBdr>
      <w:spacing w:before="40" w:after="0"/>
      <w:outlineLvl w:val="3"/>
    </w:pPr>
    <w:rPr>
      <w:rFonts w:asciiTheme="majorHAnsi" w:eastAsiaTheme="majorEastAsia" w:hAnsiTheme="majorHAnsi" w:cstheme="majorBidi"/>
      <w:iCs/>
      <w:color w:val="832C6B"/>
      <w:sz w:val="36"/>
    </w:rPr>
  </w:style>
  <w:style w:type="paragraph" w:styleId="Titre5">
    <w:name w:val="heading 5"/>
    <w:basedOn w:val="Normal"/>
    <w:next w:val="Normal"/>
    <w:link w:val="Titre5Car"/>
    <w:uiPriority w:val="9"/>
    <w:unhideWhenUsed/>
    <w:qFormat/>
    <w:rsid w:val="005412A6"/>
    <w:pPr>
      <w:keepNext/>
      <w:keepLines/>
      <w:pBdr>
        <w:bottom w:val="single" w:sz="2" w:space="1" w:color="D9D9D9" w:themeColor="background1" w:themeShade="D9"/>
      </w:pBdr>
      <w:spacing w:before="40" w:after="0"/>
      <w:outlineLvl w:val="4"/>
    </w:pPr>
    <w:rPr>
      <w:rFonts w:asciiTheme="majorHAnsi" w:eastAsiaTheme="majorEastAsia" w:hAnsiTheme="majorHAnsi" w:cstheme="majorBidi"/>
      <w:color w:val="832C6B"/>
      <w:sz w:val="32"/>
    </w:rPr>
  </w:style>
  <w:style w:type="paragraph" w:styleId="Titre6">
    <w:name w:val="heading 6"/>
    <w:basedOn w:val="Normal"/>
    <w:next w:val="Normal"/>
    <w:link w:val="Titre6Car"/>
    <w:uiPriority w:val="9"/>
    <w:unhideWhenUsed/>
    <w:qFormat/>
    <w:rsid w:val="005412A6"/>
    <w:pPr>
      <w:keepNext/>
      <w:keepLines/>
      <w:spacing w:before="40" w:after="0"/>
      <w:outlineLvl w:val="5"/>
    </w:pPr>
    <w:rPr>
      <w:rFonts w:asciiTheme="majorHAnsi" w:eastAsiaTheme="majorEastAsia" w:hAnsiTheme="majorHAnsi" w:cstheme="majorBidi"/>
      <w:color w:val="832C6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07E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5412A6"/>
    <w:rPr>
      <w:rFonts w:asciiTheme="majorHAnsi" w:eastAsiaTheme="majorEastAsia" w:hAnsiTheme="majorHAnsi" w:cstheme="majorBidi"/>
      <w:color w:val="832C6B"/>
      <w:sz w:val="48"/>
      <w:szCs w:val="32"/>
    </w:rPr>
  </w:style>
  <w:style w:type="character" w:customStyle="1" w:styleId="Titre2Car">
    <w:name w:val="Titre 2 Car"/>
    <w:basedOn w:val="Policepardfaut"/>
    <w:link w:val="Titre2"/>
    <w:uiPriority w:val="9"/>
    <w:rsid w:val="005412A6"/>
    <w:rPr>
      <w:rFonts w:asciiTheme="majorHAnsi" w:eastAsiaTheme="majorEastAsia" w:hAnsiTheme="majorHAnsi" w:cstheme="majorBidi"/>
      <w:color w:val="832C6B"/>
      <w:sz w:val="44"/>
      <w:szCs w:val="26"/>
    </w:rPr>
  </w:style>
  <w:style w:type="paragraph" w:customStyle="1" w:styleId="Remarque">
    <w:name w:val="Remarque"/>
    <w:basedOn w:val="Normal"/>
    <w:next w:val="Normal"/>
    <w:link w:val="RemarqueCar"/>
    <w:qFormat/>
    <w:rsid w:val="00FB5268"/>
    <w:pPr>
      <w:pBdr>
        <w:left w:val="single" w:sz="48" w:space="4" w:color="333333"/>
      </w:pBdr>
      <w:shd w:val="clear" w:color="auto" w:fill="F0F0F0"/>
      <w:ind w:left="567" w:right="567"/>
    </w:pPr>
  </w:style>
  <w:style w:type="character" w:customStyle="1" w:styleId="Titre3Car">
    <w:name w:val="Titre 3 Car"/>
    <w:basedOn w:val="Policepardfaut"/>
    <w:link w:val="Titre3"/>
    <w:uiPriority w:val="9"/>
    <w:rsid w:val="005412A6"/>
    <w:rPr>
      <w:rFonts w:asciiTheme="majorHAnsi" w:eastAsiaTheme="majorEastAsia" w:hAnsiTheme="majorHAnsi" w:cstheme="majorBidi"/>
      <w:color w:val="832C6B"/>
      <w:sz w:val="40"/>
      <w:szCs w:val="24"/>
    </w:rPr>
  </w:style>
  <w:style w:type="character" w:customStyle="1" w:styleId="RemarqueCar">
    <w:name w:val="Remarque Car"/>
    <w:basedOn w:val="Policepardfaut"/>
    <w:link w:val="Remarque"/>
    <w:rsid w:val="00FB5268"/>
    <w:rPr>
      <w:shd w:val="clear" w:color="auto" w:fill="F0F0F0"/>
    </w:rPr>
  </w:style>
  <w:style w:type="character" w:styleId="Lienhypertexte">
    <w:name w:val="Hyperlink"/>
    <w:basedOn w:val="Policepardfaut"/>
    <w:uiPriority w:val="99"/>
    <w:unhideWhenUsed/>
    <w:rsid w:val="00A605C1"/>
    <w:rPr>
      <w:color w:val="0563C1" w:themeColor="hyperlink"/>
      <w:u w:val="single"/>
    </w:rPr>
  </w:style>
  <w:style w:type="table" w:styleId="Grilledutableau">
    <w:name w:val="Table Grid"/>
    <w:basedOn w:val="TableauNormal"/>
    <w:uiPriority w:val="39"/>
    <w:rsid w:val="003A4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6B07F6"/>
    <w:pPr>
      <w:ind w:left="720"/>
      <w:contextualSpacing/>
    </w:pPr>
  </w:style>
  <w:style w:type="paragraph" w:customStyle="1" w:styleId="Exemple">
    <w:name w:val="Exemple"/>
    <w:basedOn w:val="Normal"/>
    <w:link w:val="ExempleCar"/>
    <w:qFormat/>
    <w:rsid w:val="00C8656D"/>
    <w:pPr>
      <w:pBdr>
        <w:left w:val="single" w:sz="48" w:space="4" w:color="767171" w:themeColor="background2" w:themeShade="80"/>
      </w:pBdr>
      <w:shd w:val="pct10" w:color="auto" w:fill="auto"/>
      <w:ind w:left="567" w:right="567"/>
    </w:pPr>
    <w:rPr>
      <w:color w:val="333333"/>
    </w:rPr>
  </w:style>
  <w:style w:type="paragraph" w:customStyle="1" w:styleId="Textederfrence">
    <w:name w:val="Texte de référence"/>
    <w:basedOn w:val="Normal"/>
    <w:link w:val="TextederfrenceCar"/>
    <w:qFormat/>
    <w:rsid w:val="004701D4"/>
    <w:pPr>
      <w:pBdr>
        <w:left w:val="single" w:sz="48" w:space="4" w:color="A50A23"/>
      </w:pBdr>
      <w:shd w:val="clear" w:color="auto" w:fill="F0F0F0"/>
      <w:ind w:left="708"/>
    </w:pPr>
  </w:style>
  <w:style w:type="character" w:customStyle="1" w:styleId="ExempleCar">
    <w:name w:val="Exemple Car"/>
    <w:basedOn w:val="Policepardfaut"/>
    <w:link w:val="Exemple"/>
    <w:rsid w:val="00C8656D"/>
    <w:rPr>
      <w:color w:val="333333"/>
      <w:shd w:val="pct10" w:color="auto" w:fill="auto"/>
    </w:rPr>
  </w:style>
  <w:style w:type="character" w:customStyle="1" w:styleId="TextederfrenceCar">
    <w:name w:val="Texte de référence Car"/>
    <w:basedOn w:val="Policepardfaut"/>
    <w:link w:val="Textederfrence"/>
    <w:rsid w:val="004701D4"/>
    <w:rPr>
      <w:shd w:val="clear" w:color="auto" w:fill="F0F0F0"/>
    </w:rPr>
  </w:style>
  <w:style w:type="paragraph" w:customStyle="1" w:styleId="Conclusion">
    <w:name w:val="Conclusion"/>
    <w:basedOn w:val="Normal"/>
    <w:link w:val="ConclusionCar"/>
    <w:qFormat/>
    <w:rsid w:val="00203C33"/>
    <w:pPr>
      <w:pBdr>
        <w:left w:val="single" w:sz="48" w:space="4" w:color="072C5F"/>
      </w:pBdr>
      <w:shd w:val="clear" w:color="auto" w:fill="F0F0F0"/>
      <w:ind w:left="708"/>
    </w:pPr>
  </w:style>
  <w:style w:type="character" w:customStyle="1" w:styleId="ConclusionCar">
    <w:name w:val="Conclusion Car"/>
    <w:basedOn w:val="Policepardfaut"/>
    <w:link w:val="Conclusion"/>
    <w:rsid w:val="00203C33"/>
    <w:rPr>
      <w:shd w:val="clear" w:color="auto" w:fill="F0F0F0"/>
    </w:rPr>
  </w:style>
  <w:style w:type="paragraph" w:customStyle="1" w:styleId="Dfinition">
    <w:name w:val="Définition"/>
    <w:basedOn w:val="Conclusion"/>
    <w:next w:val="Normal"/>
    <w:link w:val="DfinitionCar"/>
    <w:qFormat/>
    <w:rsid w:val="004762C5"/>
    <w:pPr>
      <w:pBdr>
        <w:left w:val="single" w:sz="48" w:space="4" w:color="92D050"/>
      </w:pBdr>
      <w:shd w:val="clear" w:color="auto" w:fill="E7E6E6" w:themeFill="background2"/>
    </w:pPr>
  </w:style>
  <w:style w:type="character" w:customStyle="1" w:styleId="DfinitionCar">
    <w:name w:val="Définition Car"/>
    <w:basedOn w:val="ConclusionCar"/>
    <w:link w:val="Dfinition"/>
    <w:rsid w:val="004762C5"/>
    <w:rPr>
      <w:shd w:val="clear" w:color="auto" w:fill="E7E6E6" w:themeFill="background2"/>
    </w:rPr>
  </w:style>
  <w:style w:type="paragraph" w:styleId="Textedebulles">
    <w:name w:val="Balloon Text"/>
    <w:basedOn w:val="Normal"/>
    <w:link w:val="TextedebullesCar"/>
    <w:uiPriority w:val="99"/>
    <w:semiHidden/>
    <w:unhideWhenUsed/>
    <w:rsid w:val="00886F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FC9"/>
    <w:rPr>
      <w:rFonts w:ascii="Tahoma" w:hAnsi="Tahoma" w:cs="Tahoma"/>
      <w:sz w:val="16"/>
      <w:szCs w:val="16"/>
    </w:rPr>
  </w:style>
  <w:style w:type="character" w:customStyle="1" w:styleId="Titre4Car">
    <w:name w:val="Titre 4 Car"/>
    <w:basedOn w:val="Policepardfaut"/>
    <w:link w:val="Titre4"/>
    <w:uiPriority w:val="9"/>
    <w:rsid w:val="005412A6"/>
    <w:rPr>
      <w:rFonts w:asciiTheme="majorHAnsi" w:eastAsiaTheme="majorEastAsia" w:hAnsiTheme="majorHAnsi" w:cstheme="majorBidi"/>
      <w:iCs/>
      <w:color w:val="832C6B"/>
      <w:sz w:val="36"/>
    </w:rPr>
  </w:style>
  <w:style w:type="character" w:customStyle="1" w:styleId="Titre5Car">
    <w:name w:val="Titre 5 Car"/>
    <w:basedOn w:val="Policepardfaut"/>
    <w:link w:val="Titre5"/>
    <w:uiPriority w:val="9"/>
    <w:rsid w:val="005412A6"/>
    <w:rPr>
      <w:rFonts w:asciiTheme="majorHAnsi" w:eastAsiaTheme="majorEastAsia" w:hAnsiTheme="majorHAnsi" w:cstheme="majorBidi"/>
      <w:color w:val="832C6B"/>
      <w:sz w:val="32"/>
    </w:rPr>
  </w:style>
  <w:style w:type="character" w:customStyle="1" w:styleId="Titre6Car">
    <w:name w:val="Titre 6 Car"/>
    <w:basedOn w:val="Policepardfaut"/>
    <w:link w:val="Titre6"/>
    <w:uiPriority w:val="9"/>
    <w:rsid w:val="005412A6"/>
    <w:rPr>
      <w:rFonts w:asciiTheme="majorHAnsi" w:eastAsiaTheme="majorEastAsia" w:hAnsiTheme="majorHAnsi" w:cstheme="majorBidi"/>
      <w:color w:val="832C6B"/>
      <w:sz w:val="28"/>
    </w:rPr>
  </w:style>
  <w:style w:type="paragraph" w:customStyle="1" w:styleId="Ensavoirplus">
    <w:name w:val="En savoir plus"/>
    <w:basedOn w:val="Normal"/>
    <w:link w:val="EnsavoirplusCar"/>
    <w:qFormat/>
    <w:rsid w:val="008C3683"/>
    <w:pPr>
      <w:pBdr>
        <w:top w:val="dotted" w:sz="4" w:space="1" w:color="auto"/>
        <w:bottom w:val="dotted" w:sz="4" w:space="1" w:color="auto"/>
      </w:pBdr>
      <w:shd w:val="clear" w:color="auto" w:fill="E7E6E6" w:themeFill="background2"/>
    </w:pPr>
  </w:style>
  <w:style w:type="character" w:customStyle="1" w:styleId="EnsavoirplusCar">
    <w:name w:val="En savoir plus Car"/>
    <w:basedOn w:val="Policepardfaut"/>
    <w:link w:val="Ensavoirplus"/>
    <w:rsid w:val="008C3683"/>
    <w:rPr>
      <w:shd w:val="clear" w:color="auto" w:fill="E7E6E6" w:themeFill="background2"/>
    </w:rPr>
  </w:style>
  <w:style w:type="paragraph" w:customStyle="1" w:styleId="Titreensavoirplus">
    <w:name w:val="Titre en savoir plus"/>
    <w:basedOn w:val="Ensavoirplus"/>
    <w:next w:val="Ensavoirplus"/>
    <w:link w:val="TitreensavoirplusCar"/>
    <w:qFormat/>
    <w:rsid w:val="0048522C"/>
    <w:pPr>
      <w:spacing w:after="0" w:line="240" w:lineRule="auto"/>
    </w:pPr>
    <w:rPr>
      <w:b/>
      <w:i/>
      <w:u w:val="single"/>
    </w:rPr>
  </w:style>
  <w:style w:type="character" w:customStyle="1" w:styleId="TitreensavoirplusCar">
    <w:name w:val="Titre en savoir plus Car"/>
    <w:basedOn w:val="EnsavoirplusCar"/>
    <w:link w:val="Titreensavoirplus"/>
    <w:rsid w:val="0048522C"/>
    <w:rPr>
      <w:b/>
      <w:i/>
      <w:u w:val="single"/>
      <w:shd w:val="clear" w:color="auto" w:fill="BDD6EE" w:themeFill="accent1" w:themeFillTint="66"/>
    </w:rPr>
  </w:style>
  <w:style w:type="character" w:styleId="Mentionnonrsolue">
    <w:name w:val="Unresolved Mention"/>
    <w:basedOn w:val="Policepardfaut"/>
    <w:uiPriority w:val="99"/>
    <w:semiHidden/>
    <w:unhideWhenUsed/>
    <w:rsid w:val="00B44AEE"/>
    <w:rPr>
      <w:color w:val="605E5C"/>
      <w:shd w:val="clear" w:color="auto" w:fill="E1DFDD"/>
    </w:rPr>
  </w:style>
  <w:style w:type="paragraph" w:styleId="Notedebasdepage">
    <w:name w:val="footnote text"/>
    <w:basedOn w:val="Normal"/>
    <w:link w:val="NotedebasdepageCar"/>
    <w:uiPriority w:val="99"/>
    <w:unhideWhenUsed/>
    <w:rsid w:val="00284B72"/>
    <w:pPr>
      <w:spacing w:after="0" w:line="240" w:lineRule="auto"/>
    </w:pPr>
    <w:rPr>
      <w:sz w:val="24"/>
      <w:szCs w:val="24"/>
    </w:rPr>
  </w:style>
  <w:style w:type="character" w:customStyle="1" w:styleId="NotedebasdepageCar">
    <w:name w:val="Note de bas de page Car"/>
    <w:basedOn w:val="Policepardfaut"/>
    <w:link w:val="Notedebasdepage"/>
    <w:uiPriority w:val="99"/>
    <w:rsid w:val="00284B72"/>
    <w:rPr>
      <w:sz w:val="24"/>
      <w:szCs w:val="24"/>
    </w:rPr>
  </w:style>
  <w:style w:type="character" w:styleId="Appelnotedebasdep">
    <w:name w:val="footnote reference"/>
    <w:basedOn w:val="Policepardfaut"/>
    <w:uiPriority w:val="99"/>
    <w:unhideWhenUsed/>
    <w:rsid w:val="00284B72"/>
    <w:rPr>
      <w:vertAlign w:val="superscript"/>
    </w:rPr>
  </w:style>
  <w:style w:type="character" w:styleId="Lienhypertextesuivivisit">
    <w:name w:val="FollowedHyperlink"/>
    <w:basedOn w:val="Policepardfaut"/>
    <w:uiPriority w:val="99"/>
    <w:semiHidden/>
    <w:unhideWhenUsed/>
    <w:rsid w:val="008157FC"/>
    <w:rPr>
      <w:color w:val="954F72" w:themeColor="followedHyperlink"/>
      <w:u w:val="single"/>
    </w:rPr>
  </w:style>
  <w:style w:type="character" w:customStyle="1" w:styleId="apple-converted-space">
    <w:name w:val="apple-converted-space"/>
    <w:basedOn w:val="Policepardfaut"/>
    <w:rsid w:val="009C5A01"/>
  </w:style>
  <w:style w:type="character" w:styleId="Marquedecommentaire">
    <w:name w:val="annotation reference"/>
    <w:basedOn w:val="Policepardfaut"/>
    <w:uiPriority w:val="99"/>
    <w:semiHidden/>
    <w:unhideWhenUsed/>
    <w:rsid w:val="0033751A"/>
    <w:rPr>
      <w:sz w:val="16"/>
      <w:szCs w:val="16"/>
    </w:rPr>
  </w:style>
  <w:style w:type="paragraph" w:styleId="Commentaire">
    <w:name w:val="annotation text"/>
    <w:basedOn w:val="Normal"/>
    <w:link w:val="CommentaireCar"/>
    <w:uiPriority w:val="99"/>
    <w:semiHidden/>
    <w:unhideWhenUsed/>
    <w:rsid w:val="0033751A"/>
    <w:pPr>
      <w:spacing w:line="240" w:lineRule="auto"/>
    </w:pPr>
    <w:rPr>
      <w:sz w:val="20"/>
      <w:szCs w:val="20"/>
    </w:rPr>
  </w:style>
  <w:style w:type="character" w:customStyle="1" w:styleId="CommentaireCar">
    <w:name w:val="Commentaire Car"/>
    <w:basedOn w:val="Policepardfaut"/>
    <w:link w:val="Commentaire"/>
    <w:uiPriority w:val="99"/>
    <w:semiHidden/>
    <w:rsid w:val="0033751A"/>
    <w:rPr>
      <w:sz w:val="20"/>
      <w:szCs w:val="20"/>
    </w:rPr>
  </w:style>
  <w:style w:type="paragraph" w:styleId="Objetducommentaire">
    <w:name w:val="annotation subject"/>
    <w:basedOn w:val="Commentaire"/>
    <w:next w:val="Commentaire"/>
    <w:link w:val="ObjetducommentaireCar"/>
    <w:uiPriority w:val="99"/>
    <w:semiHidden/>
    <w:unhideWhenUsed/>
    <w:rsid w:val="0033751A"/>
    <w:rPr>
      <w:b/>
      <w:bCs/>
    </w:rPr>
  </w:style>
  <w:style w:type="character" w:customStyle="1" w:styleId="ObjetducommentaireCar">
    <w:name w:val="Objet du commentaire Car"/>
    <w:basedOn w:val="CommentaireCar"/>
    <w:link w:val="Objetducommentaire"/>
    <w:uiPriority w:val="99"/>
    <w:semiHidden/>
    <w:rsid w:val="0033751A"/>
    <w:rPr>
      <w:b/>
      <w:bCs/>
      <w:sz w:val="20"/>
      <w:szCs w:val="20"/>
    </w:rPr>
  </w:style>
  <w:style w:type="paragraph" w:styleId="Pieddepage">
    <w:name w:val="footer"/>
    <w:basedOn w:val="Normal"/>
    <w:link w:val="PieddepageCar"/>
    <w:uiPriority w:val="99"/>
    <w:unhideWhenUsed/>
    <w:rsid w:val="007339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39C0"/>
  </w:style>
  <w:style w:type="character" w:styleId="Numrodepage">
    <w:name w:val="page number"/>
    <w:basedOn w:val="Policepardfaut"/>
    <w:uiPriority w:val="99"/>
    <w:semiHidden/>
    <w:unhideWhenUsed/>
    <w:rsid w:val="00733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468101">
      <w:bodyDiv w:val="1"/>
      <w:marLeft w:val="0"/>
      <w:marRight w:val="0"/>
      <w:marTop w:val="0"/>
      <w:marBottom w:val="0"/>
      <w:divBdr>
        <w:top w:val="none" w:sz="0" w:space="0" w:color="auto"/>
        <w:left w:val="none" w:sz="0" w:space="0" w:color="auto"/>
        <w:bottom w:val="none" w:sz="0" w:space="0" w:color="auto"/>
        <w:right w:val="none" w:sz="0" w:space="0" w:color="auto"/>
      </w:divBdr>
      <w:divsChild>
        <w:div w:id="1160728413">
          <w:marLeft w:val="0"/>
          <w:marRight w:val="0"/>
          <w:marTop w:val="0"/>
          <w:marBottom w:val="0"/>
          <w:divBdr>
            <w:top w:val="none" w:sz="0" w:space="0" w:color="auto"/>
            <w:left w:val="none" w:sz="0" w:space="0" w:color="auto"/>
            <w:bottom w:val="none" w:sz="0" w:space="0" w:color="auto"/>
            <w:right w:val="none" w:sz="0" w:space="0" w:color="auto"/>
          </w:divBdr>
        </w:div>
      </w:divsChild>
    </w:div>
    <w:div w:id="1712529664">
      <w:bodyDiv w:val="1"/>
      <w:marLeft w:val="0"/>
      <w:marRight w:val="0"/>
      <w:marTop w:val="0"/>
      <w:marBottom w:val="0"/>
      <w:divBdr>
        <w:top w:val="none" w:sz="0" w:space="0" w:color="auto"/>
        <w:left w:val="none" w:sz="0" w:space="0" w:color="auto"/>
        <w:bottom w:val="none" w:sz="0" w:space="0" w:color="auto"/>
        <w:right w:val="none" w:sz="0" w:space="0" w:color="auto"/>
      </w:divBdr>
    </w:div>
    <w:div w:id="196650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article_lc/LEGIARTI000018619382/" TargetMode="External"/><Relationship Id="rId18" Type="http://schemas.openxmlformats.org/officeDocument/2006/relationships/hyperlink" Target="https://www.legifrance.gouv.fr/codes/article_lc/LEGIARTI000006309298" TargetMode="External"/><Relationship Id="rId26" Type="http://schemas.openxmlformats.org/officeDocument/2006/relationships/hyperlink" Target="https://www.legifrance.gouv.fr/codes/article_lc/LEGIARTI000021642728/" TargetMode="External"/><Relationship Id="rId39" Type="http://schemas.openxmlformats.org/officeDocument/2006/relationships/hyperlink" Target="https://www.legifrance.gouv.fr/codes/article_lc/LEGIARTI000034596921" TargetMode="External"/><Relationship Id="rId21" Type="http://schemas.openxmlformats.org/officeDocument/2006/relationships/hyperlink" Target="https://www.legifrance.gouv.fr/codes/article_lc/LEGIARTI000033469152/" TargetMode="External"/><Relationship Id="rId34" Type="http://schemas.openxmlformats.org/officeDocument/2006/relationships/hyperlink" Target="https://www.legifrance.gouv.fr/codes/section_lc/LEGITEXT000006069577/LEGISCTA000006179649/" TargetMode="External"/><Relationship Id="rId42" Type="http://schemas.openxmlformats.org/officeDocument/2006/relationships/hyperlink" Target="https://eur-lex.europa.eu/legal-content/FR/TXT/PDF/?uri=CELEX:32006L0112&amp;from=en" TargetMode="External"/><Relationship Id="rId47" Type="http://schemas.openxmlformats.org/officeDocument/2006/relationships/hyperlink" Target="https://www.legifrance.gouv.fr/codes/article_lc/LEGIARTI000041467650" TargetMode="External"/><Relationship Id="rId50" Type="http://schemas.openxmlformats.org/officeDocument/2006/relationships/hyperlink" Target="https://www.legifrance.gouv.fr/codes/article_lc/LEGIARTI000042910083" TargetMode="External"/><Relationship Id="rId55" Type="http://schemas.openxmlformats.org/officeDocument/2006/relationships/image" Target="media/image3.png"/><Relationship Id="rId63" Type="http://schemas.openxmlformats.org/officeDocument/2006/relationships/theme" Target="theme/theme1.xml"/><Relationship Id="rId7" Type="http://schemas.openxmlformats.org/officeDocument/2006/relationships/hyperlink" Target="https://eur-lex.europa.eu/LexUriServ/LexUriServ.do?uri=CELEX:31977L0388:fr:HTML" TargetMode="External"/><Relationship Id="rId2" Type="http://schemas.openxmlformats.org/officeDocument/2006/relationships/styles" Target="styles.xml"/><Relationship Id="rId16" Type="http://schemas.openxmlformats.org/officeDocument/2006/relationships/hyperlink" Target="https://www.legifrance.gouv.fr/affichCodeArticle.do?cidTexte=LEGITEXT000006069577&amp;idArticle=LEGIARTI000006309357&amp;dateTexte=&amp;categorieLien=cid" TargetMode="External"/><Relationship Id="rId29" Type="http://schemas.openxmlformats.org/officeDocument/2006/relationships/hyperlink" Target="https://www.legifrance.gouv.fr/codes/article_lc/LEGIARTI000006309443/1998-04-22" TargetMode="External"/><Relationship Id="rId11" Type="http://schemas.openxmlformats.org/officeDocument/2006/relationships/hyperlink" Target="https://eur-lex.europa.eu/legal-content/FR/LSU/?uri=CELEX:32006L0112" TargetMode="External"/><Relationship Id="rId24" Type="http://schemas.openxmlformats.org/officeDocument/2006/relationships/hyperlink" Target="https://www.legifrance.gouv.fr/codes/article_lc/LEGIARTI000021642728/" TargetMode="External"/><Relationship Id="rId32" Type="http://schemas.openxmlformats.org/officeDocument/2006/relationships/hyperlink" Target="https://www.paysan-breton.fr/2019/05/dumping-fiscal-agricole-la-cour-des-comptes-allemande-denonce/" TargetMode="External"/><Relationship Id="rId37" Type="http://schemas.openxmlformats.org/officeDocument/2006/relationships/hyperlink" Target="https://www.legifrance.gouv.fr/codes/article_lc/LEGIARTI000043662408" TargetMode="External"/><Relationship Id="rId40" Type="http://schemas.openxmlformats.org/officeDocument/2006/relationships/hyperlink" Target="https://www.legifrance.gouv.fr/codes/article_lc/LEGIARTI000042911240" TargetMode="External"/><Relationship Id="rId45" Type="http://schemas.openxmlformats.org/officeDocument/2006/relationships/hyperlink" Target="https://www.legifrance.gouv.fr/codes/article_lc/LEGIARTI000041467650" TargetMode="External"/><Relationship Id="rId53" Type="http://schemas.openxmlformats.org/officeDocument/2006/relationships/hyperlink" Target="https://www.legifrance.gouv.fr/codes/article_lc/LEGIARTI000033469142/2018-01-01" TargetMode="External"/><Relationship Id="rId58" Type="http://schemas.openxmlformats.org/officeDocument/2006/relationships/hyperlink" Target="https://www.legifrance.gouv.fr/codes/article_lc/LEGIARTI000042159557/" TargetMode="Externa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hyperlink" Target="https://www.legifrance.gouv.fr/codes/article_lc/LEGIARTI000042159618/" TargetMode="External"/><Relationship Id="rId14" Type="http://schemas.openxmlformats.org/officeDocument/2006/relationships/hyperlink" Target="https://www.legifrance.gouv.fr/codes/article_lc/LEGIARTI000025576729/" TargetMode="External"/><Relationship Id="rId22" Type="http://schemas.openxmlformats.org/officeDocument/2006/relationships/hyperlink" Target="https://www.legifrance.gouv.fr/codes/article_lc/LEGIARTI000034596909" TargetMode="External"/><Relationship Id="rId27" Type="http://schemas.openxmlformats.org/officeDocument/2006/relationships/hyperlink" Target="https://www.legifrance.gouv.fr/codes/article_lc/LEGIARTI000042909954/" TargetMode="External"/><Relationship Id="rId30" Type="http://schemas.openxmlformats.org/officeDocument/2006/relationships/hyperlink" Target="https://eur-lex.europa.eu/legal-content/FR/LSU/?uri=CELEX:32006L0112" TargetMode="External"/><Relationship Id="rId35" Type="http://schemas.openxmlformats.org/officeDocument/2006/relationships/hyperlink" Target="https://www.legifrance.gouv.fr/codes/article_lc/LEGIARTI000043662408" TargetMode="External"/><Relationship Id="rId43" Type="http://schemas.openxmlformats.org/officeDocument/2006/relationships/hyperlink" Target="http://www.zapptax.com" TargetMode="External"/><Relationship Id="rId48" Type="http://schemas.openxmlformats.org/officeDocument/2006/relationships/hyperlink" Target="https://www.legifrance.gouv.fr/codes/article_lc/LEGIARTI000042910075" TargetMode="External"/><Relationship Id="rId56" Type="http://schemas.openxmlformats.org/officeDocument/2006/relationships/hyperlink" Target="https://www.legifrance.gouv.fr/codes/article_lc/LEGIARTI000043012134" TargetMode="External"/><Relationship Id="rId8" Type="http://schemas.openxmlformats.org/officeDocument/2006/relationships/hyperlink" Target="https://eur-lex.europa.eu/legal-content/FR/LSU/?uri=CELEX:32006L0112" TargetMode="External"/><Relationship Id="rId51" Type="http://schemas.openxmlformats.org/officeDocument/2006/relationships/hyperlink" Target="https://www.legifrance.gouv.fr/codes/article_lc/LEGIARTI000029042617" TargetMode="External"/><Relationship Id="rId3" Type="http://schemas.openxmlformats.org/officeDocument/2006/relationships/settings" Target="settings.xml"/><Relationship Id="rId12" Type="http://schemas.openxmlformats.org/officeDocument/2006/relationships/hyperlink" Target="https://eur-lex.europa.eu/resource.html?uri=cellar:b1f52d0a-65c2-43ea-9e3c-15d42213dafa.0001.06/DOC_1&amp;format=PDF" TargetMode="External"/><Relationship Id="rId17" Type="http://schemas.openxmlformats.org/officeDocument/2006/relationships/hyperlink" Target="https://www.legifrance.gouv.fr/codes/article_lc/LEGIARTI000042910291/" TargetMode="External"/><Relationship Id="rId25" Type="http://schemas.openxmlformats.org/officeDocument/2006/relationships/hyperlink" Target="https://www.legifrance.gouv.fr/codes/article_lc/LEGIARTI000042909954/" TargetMode="External"/><Relationship Id="rId33" Type="http://schemas.openxmlformats.org/officeDocument/2006/relationships/image" Target="media/image1.jpeg"/><Relationship Id="rId38" Type="http://schemas.openxmlformats.org/officeDocument/2006/relationships/hyperlink" Target="https://www.legifrance.gouv.fr/codes/article_lc/LEGIARTI000041467574" TargetMode="External"/><Relationship Id="rId46" Type="http://schemas.openxmlformats.org/officeDocument/2006/relationships/hyperlink" Target="https://www.legifrance.gouv.fr/codes/article_lc/LEGIARTI000041467650" TargetMode="External"/><Relationship Id="rId59" Type="http://schemas.openxmlformats.org/officeDocument/2006/relationships/hyperlink" Target="https://www.legifrance.gouv.fr/codes/article_lc/LEGIARTI000030061787/" TargetMode="External"/><Relationship Id="rId20" Type="http://schemas.openxmlformats.org/officeDocument/2006/relationships/hyperlink" Target="https://www.legifrance.gouv.fr/codes/section_lc/LEGITEXT000006069577/LEGISCTA000006179645/" TargetMode="External"/><Relationship Id="rId41" Type="http://schemas.openxmlformats.org/officeDocument/2006/relationships/hyperlink" Target="https://www.legifrance.gouv.fr/codes/article_lc/LEGIARTI000042914996" TargetMode="External"/><Relationship Id="rId54" Type="http://schemas.openxmlformats.org/officeDocument/2006/relationships/image" Target="media/image2.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affichCodeArticle.do?cidTexte=LEGITEXT000006069577&amp;idArticle=LEGIARTI000006304273&amp;dateTexte=&amp;categorieLien=cid" TargetMode="External"/><Relationship Id="rId23" Type="http://schemas.openxmlformats.org/officeDocument/2006/relationships/hyperlink" Target="https://www.legifrance.gouv.fr/codes/article_lc/LEGIARTI000021642728/" TargetMode="External"/><Relationship Id="rId28" Type="http://schemas.openxmlformats.org/officeDocument/2006/relationships/hyperlink" Target="https://www.legifrance.gouv.fr/codes/article_lc/LEGIARTI000042909954/" TargetMode="External"/><Relationship Id="rId36" Type="http://schemas.openxmlformats.org/officeDocument/2006/relationships/hyperlink" Target="https://www.legifrance.gouv.fr/codes/article_lc/LEGIARTI000043662408" TargetMode="External"/><Relationship Id="rId49" Type="http://schemas.openxmlformats.org/officeDocument/2006/relationships/hyperlink" Target="https://www.legifrance.gouv.fr/codes/article_lc/LEGIARTI000042910075" TargetMode="External"/><Relationship Id="rId57" Type="http://schemas.openxmlformats.org/officeDocument/2006/relationships/hyperlink" Target="https://www.legifrance.gouv.fr/codes/article_lc/LEGIARTI000044604097" TargetMode="External"/><Relationship Id="rId10" Type="http://schemas.openxmlformats.org/officeDocument/2006/relationships/hyperlink" Target="https://eur-lex.europa.eu/LexUriServ/LexUriServ.do?uri=CELEX:31977L0388:fr:HTML" TargetMode="External"/><Relationship Id="rId31" Type="http://schemas.openxmlformats.org/officeDocument/2006/relationships/hyperlink" Target="https://ec.europa.eu/commission/presscorner/detail/fr/MEMO_19_462" TargetMode="External"/><Relationship Id="rId44" Type="http://schemas.openxmlformats.org/officeDocument/2006/relationships/hyperlink" Target="https://www.legifrance.gouv.fr/codes/article_lc/LEGIARTI000026950057/" TargetMode="External"/><Relationship Id="rId52" Type="http://schemas.openxmlformats.org/officeDocument/2006/relationships/hyperlink" Target="https://www.legifrance.gouv.fr/codes/article_lc/LEGIARTI000044983686/"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pr-moselle.fr/Pages/TraiteLisbonne/TFUE/Uniformisation%20des%20taxes/Article113TFU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765</TotalTime>
  <Pages>26</Pages>
  <Words>9026</Words>
  <Characters>49646</Characters>
  <Application>Microsoft Office Word</Application>
  <DocSecurity>0</DocSecurity>
  <Lines>413</Lines>
  <Paragraphs>117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dc:creator>
  <cp:lastModifiedBy>DOUAT</cp:lastModifiedBy>
  <cp:revision>13</cp:revision>
  <cp:lastPrinted>2023-02-09T03:48:00Z</cp:lastPrinted>
  <dcterms:created xsi:type="dcterms:W3CDTF">2023-02-08T15:32:00Z</dcterms:created>
  <dcterms:modified xsi:type="dcterms:W3CDTF">2023-02-15T21:33:00Z</dcterms:modified>
</cp:coreProperties>
</file>