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5C48" w:rsidRPr="00266ABD" w:rsidRDefault="0046342A" w:rsidP="00266ABD">
      <w:pPr>
        <w:jc w:val="center"/>
        <w:rPr>
          <w:b/>
          <w:bCs/>
          <w:sz w:val="52"/>
          <w:szCs w:val="52"/>
        </w:rPr>
      </w:pPr>
      <w:r w:rsidRPr="00266ABD">
        <w:rPr>
          <w:b/>
          <w:bCs/>
          <w:sz w:val="52"/>
          <w:szCs w:val="52"/>
        </w:rPr>
        <w:t>FICHE SUR LES DÉPENSES PUBLIQUES</w:t>
      </w:r>
    </w:p>
    <w:p w:rsidR="0046342A" w:rsidRPr="0046342A" w:rsidRDefault="0046342A" w:rsidP="0046342A">
      <w:pPr>
        <w:jc w:val="both"/>
        <w:rPr>
          <w:sz w:val="32"/>
          <w:szCs w:val="32"/>
        </w:rPr>
      </w:pPr>
    </w:p>
    <w:p w:rsidR="0046342A" w:rsidRDefault="0046342A" w:rsidP="00DC1B86">
      <w:pPr>
        <w:shd w:val="clear" w:color="auto" w:fill="FECD63"/>
        <w:jc w:val="both"/>
        <w:rPr>
          <w:sz w:val="32"/>
          <w:szCs w:val="32"/>
        </w:rPr>
      </w:pPr>
      <w:r w:rsidRPr="0046342A">
        <w:rPr>
          <w:sz w:val="32"/>
          <w:szCs w:val="32"/>
        </w:rPr>
        <w:t xml:space="preserve">Selon le rapport d’Eurostat du 21 octobre 2022 donnant les résultats des Finances publiques de l’UE pour 2021, la France est championne d’Europe (et du monde) des dépenses publiques avec un taux de </w:t>
      </w:r>
      <w:r w:rsidRPr="0046342A">
        <w:rPr>
          <w:b/>
          <w:bCs/>
          <w:sz w:val="32"/>
          <w:szCs w:val="32"/>
        </w:rPr>
        <w:t>59,0% du PIB</w:t>
      </w:r>
      <w:r w:rsidRPr="0046342A">
        <w:rPr>
          <w:sz w:val="32"/>
          <w:szCs w:val="32"/>
        </w:rPr>
        <w:t xml:space="preserve"> </w:t>
      </w:r>
      <w:r w:rsidR="00266ABD">
        <w:rPr>
          <w:sz w:val="32"/>
          <w:szCs w:val="32"/>
        </w:rPr>
        <w:t>(</w:t>
      </w:r>
      <w:r w:rsidRPr="0046342A">
        <w:rPr>
          <w:sz w:val="32"/>
          <w:szCs w:val="32"/>
        </w:rPr>
        <w:t>après 61,5% pour l’année 2000</w:t>
      </w:r>
      <w:r w:rsidR="00266ABD">
        <w:rPr>
          <w:sz w:val="32"/>
          <w:szCs w:val="32"/>
        </w:rPr>
        <w:t>)</w:t>
      </w:r>
      <w:r w:rsidRPr="0046342A">
        <w:rPr>
          <w:sz w:val="32"/>
          <w:szCs w:val="32"/>
        </w:rPr>
        <w:t xml:space="preserve">. Retenons les ordres de grandeur suivants : </w:t>
      </w:r>
    </w:p>
    <w:p w:rsidR="0046342A" w:rsidRDefault="0046342A" w:rsidP="00DC1B86">
      <w:pPr>
        <w:shd w:val="clear" w:color="auto" w:fill="FECD63"/>
        <w:jc w:val="both"/>
        <w:rPr>
          <w:sz w:val="32"/>
          <w:szCs w:val="32"/>
        </w:rPr>
      </w:pPr>
    </w:p>
    <w:p w:rsidR="0046342A" w:rsidRDefault="0046342A" w:rsidP="00DC1B86">
      <w:pPr>
        <w:shd w:val="clear" w:color="auto" w:fill="FECD63"/>
        <w:jc w:val="both"/>
        <w:rPr>
          <w:b/>
          <w:bCs/>
          <w:sz w:val="32"/>
          <w:szCs w:val="32"/>
        </w:rPr>
      </w:pPr>
      <w:r w:rsidRPr="0046342A">
        <w:rPr>
          <w:b/>
          <w:bCs/>
          <w:sz w:val="32"/>
          <w:szCs w:val="32"/>
        </w:rPr>
        <w:t>En 2020, année COVID, la France a dépassé les 60% du PIB pour ses dépenses publiques. Pour l’année 2021, ce chiffre est descendu juste en dessous des 60%</w:t>
      </w:r>
      <w:r>
        <w:rPr>
          <w:b/>
          <w:bCs/>
          <w:sz w:val="32"/>
          <w:szCs w:val="32"/>
        </w:rPr>
        <w:t>.</w:t>
      </w:r>
    </w:p>
    <w:p w:rsidR="0046342A" w:rsidRDefault="0046342A" w:rsidP="0046342A">
      <w:pPr>
        <w:jc w:val="both"/>
        <w:rPr>
          <w:b/>
          <w:bCs/>
          <w:sz w:val="32"/>
          <w:szCs w:val="32"/>
        </w:rPr>
      </w:pPr>
    </w:p>
    <w:p w:rsidR="0046342A" w:rsidRDefault="0046342A" w:rsidP="00266ABD">
      <w:pPr>
        <w:shd w:val="clear" w:color="auto" w:fill="FFFF00"/>
        <w:jc w:val="both"/>
        <w:rPr>
          <w:sz w:val="32"/>
          <w:szCs w:val="32"/>
        </w:rPr>
      </w:pPr>
      <w:r w:rsidRPr="0046342A">
        <w:rPr>
          <w:sz w:val="32"/>
          <w:szCs w:val="32"/>
        </w:rPr>
        <w:t xml:space="preserve">A/ Quelle est la répartition des dépenses publiques en France entre les différents niveaux d’administration ? </w:t>
      </w:r>
    </w:p>
    <w:p w:rsidR="0046342A" w:rsidRDefault="0046342A" w:rsidP="00266ABD">
      <w:pPr>
        <w:shd w:val="clear" w:color="auto" w:fill="FFFF00"/>
        <w:jc w:val="both"/>
        <w:rPr>
          <w:sz w:val="32"/>
          <w:szCs w:val="32"/>
        </w:rPr>
      </w:pPr>
    </w:p>
    <w:p w:rsidR="0046342A" w:rsidRDefault="0046342A" w:rsidP="00266ABD">
      <w:pPr>
        <w:shd w:val="clear" w:color="auto" w:fill="FFFF00"/>
        <w:jc w:val="both"/>
        <w:rPr>
          <w:sz w:val="32"/>
          <w:szCs w:val="32"/>
        </w:rPr>
      </w:pPr>
      <w:r>
        <w:rPr>
          <w:sz w:val="32"/>
          <w:szCs w:val="32"/>
        </w:rPr>
        <w:t>On part des dépenses publiques françaises qui étaient pour 2021 à 59,0% du PIB ce qui signifie 1 476,7 Mds €.</w:t>
      </w:r>
    </w:p>
    <w:p w:rsidR="0046342A" w:rsidRDefault="0046342A" w:rsidP="00266ABD">
      <w:pPr>
        <w:shd w:val="clear" w:color="auto" w:fill="FFFF00"/>
        <w:jc w:val="both"/>
        <w:rPr>
          <w:sz w:val="32"/>
          <w:szCs w:val="32"/>
        </w:rPr>
      </w:pPr>
    </w:p>
    <w:p w:rsidR="0046342A" w:rsidRDefault="0046342A" w:rsidP="00266ABD">
      <w:pPr>
        <w:shd w:val="clear" w:color="auto" w:fill="FFFF00"/>
        <w:jc w:val="both"/>
        <w:rPr>
          <w:sz w:val="32"/>
          <w:szCs w:val="32"/>
        </w:rPr>
      </w:pPr>
      <w:r>
        <w:rPr>
          <w:sz w:val="32"/>
          <w:szCs w:val="32"/>
        </w:rPr>
        <w:t xml:space="preserve">Quels </w:t>
      </w:r>
      <w:r w:rsidR="00DC1B86">
        <w:rPr>
          <w:sz w:val="32"/>
          <w:szCs w:val="32"/>
        </w:rPr>
        <w:t xml:space="preserve">sont les </w:t>
      </w:r>
      <w:r>
        <w:rPr>
          <w:sz w:val="32"/>
          <w:szCs w:val="32"/>
        </w:rPr>
        <w:t xml:space="preserve">niveaux </w:t>
      </w:r>
      <w:r w:rsidR="00DC1B86">
        <w:rPr>
          <w:sz w:val="32"/>
          <w:szCs w:val="32"/>
        </w:rPr>
        <w:t xml:space="preserve">qui </w:t>
      </w:r>
      <w:r>
        <w:rPr>
          <w:sz w:val="32"/>
          <w:szCs w:val="32"/>
        </w:rPr>
        <w:t>dépensent le plus ? Faisons la typologie de l’origine des dépenses publiques :</w:t>
      </w:r>
    </w:p>
    <w:p w:rsidR="0046342A" w:rsidRDefault="0046342A" w:rsidP="00266ABD">
      <w:pPr>
        <w:shd w:val="clear" w:color="auto" w:fill="FFFF00"/>
        <w:jc w:val="both"/>
        <w:rPr>
          <w:sz w:val="32"/>
          <w:szCs w:val="32"/>
        </w:rPr>
      </w:pPr>
      <w:r>
        <w:rPr>
          <w:sz w:val="32"/>
          <w:szCs w:val="32"/>
        </w:rPr>
        <w:t xml:space="preserve">1°) ASSO = 27,3% </w:t>
      </w:r>
      <w:r w:rsidR="00DC1B86">
        <w:rPr>
          <w:sz w:val="32"/>
          <w:szCs w:val="32"/>
        </w:rPr>
        <w:t xml:space="preserve">du PIB ; </w:t>
      </w:r>
      <w:r>
        <w:rPr>
          <w:sz w:val="32"/>
          <w:szCs w:val="32"/>
        </w:rPr>
        <w:t>si vous n’aimez pas les chiffres retenez</w:t>
      </w:r>
      <w:r w:rsidR="00DC1B86">
        <w:rPr>
          <w:sz w:val="32"/>
          <w:szCs w:val="32"/>
        </w:rPr>
        <w:t xml:space="preserve"> : </w:t>
      </w:r>
      <w:r>
        <w:rPr>
          <w:sz w:val="32"/>
          <w:szCs w:val="32"/>
        </w:rPr>
        <w:t>bien plus que le quart du PIB.</w:t>
      </w:r>
    </w:p>
    <w:p w:rsidR="0046342A" w:rsidRDefault="0046342A" w:rsidP="00266ABD">
      <w:pPr>
        <w:shd w:val="clear" w:color="auto" w:fill="FFFF00"/>
        <w:jc w:val="both"/>
        <w:rPr>
          <w:sz w:val="32"/>
          <w:szCs w:val="32"/>
        </w:rPr>
      </w:pPr>
      <w:r>
        <w:rPr>
          <w:sz w:val="32"/>
          <w:szCs w:val="32"/>
        </w:rPr>
        <w:t>2°) L’État = 22,5% en-dessous du quart du PIB.</w:t>
      </w:r>
    </w:p>
    <w:p w:rsidR="0046342A" w:rsidRDefault="0046342A" w:rsidP="00266ABD">
      <w:pPr>
        <w:shd w:val="clear" w:color="auto" w:fill="FFFF00"/>
        <w:jc w:val="both"/>
        <w:rPr>
          <w:sz w:val="32"/>
          <w:szCs w:val="32"/>
        </w:rPr>
      </w:pPr>
      <w:r>
        <w:rPr>
          <w:sz w:val="32"/>
          <w:szCs w:val="32"/>
        </w:rPr>
        <w:t>3°) APUL = 11,2% un peu plus de 10% du PIB.</w:t>
      </w:r>
    </w:p>
    <w:p w:rsidR="0046342A" w:rsidRDefault="0046342A" w:rsidP="00266ABD">
      <w:pPr>
        <w:shd w:val="clear" w:color="auto" w:fill="FFFF00"/>
        <w:jc w:val="both"/>
        <w:rPr>
          <w:sz w:val="32"/>
          <w:szCs w:val="32"/>
        </w:rPr>
      </w:pPr>
      <w:r>
        <w:rPr>
          <w:sz w:val="32"/>
          <w:szCs w:val="32"/>
        </w:rPr>
        <w:t>4°) ODAC = 4,3% du PIB</w:t>
      </w:r>
    </w:p>
    <w:p w:rsidR="0046342A" w:rsidRDefault="0046342A" w:rsidP="00266ABD">
      <w:pPr>
        <w:shd w:val="clear" w:color="auto" w:fill="FFFF00"/>
        <w:jc w:val="both"/>
        <w:rPr>
          <w:sz w:val="32"/>
          <w:szCs w:val="32"/>
        </w:rPr>
      </w:pPr>
    </w:p>
    <w:p w:rsidR="0046342A" w:rsidRDefault="0046342A" w:rsidP="00266ABD">
      <w:pPr>
        <w:shd w:val="clear" w:color="auto" w:fill="FFFF00"/>
        <w:jc w:val="both"/>
        <w:rPr>
          <w:sz w:val="32"/>
          <w:szCs w:val="32"/>
        </w:rPr>
      </w:pPr>
      <w:r>
        <w:rPr>
          <w:sz w:val="32"/>
          <w:szCs w:val="32"/>
        </w:rPr>
        <w:t xml:space="preserve">Même en rajoutant État + ODAC, cela ne dépasse pas le niveau des ASSO qui restent à la première place. Les dépenses de protection sociale et de santé sont le premier poste dans les dépenses publiques. </w:t>
      </w:r>
    </w:p>
    <w:p w:rsidR="00266ABD" w:rsidRDefault="00266ABD" w:rsidP="00266ABD">
      <w:pPr>
        <w:shd w:val="clear" w:color="auto" w:fill="FFFF00"/>
        <w:jc w:val="both"/>
        <w:rPr>
          <w:sz w:val="32"/>
          <w:szCs w:val="32"/>
        </w:rPr>
      </w:pPr>
      <w:r>
        <w:rPr>
          <w:sz w:val="32"/>
          <w:szCs w:val="32"/>
        </w:rPr>
        <w:t>22,5% pour l’</w:t>
      </w:r>
      <w:r w:rsidR="00DC1B86">
        <w:rPr>
          <w:sz w:val="32"/>
          <w:szCs w:val="32"/>
        </w:rPr>
        <w:t>É</w:t>
      </w:r>
      <w:r>
        <w:rPr>
          <w:sz w:val="32"/>
          <w:szCs w:val="32"/>
        </w:rPr>
        <w:t>tat + 4,3% pour les ODAC = 26,8% du PIB, c’est en-dessous du niveau de dépenses des ASSO qui sont à 27,3% du PIB.</w:t>
      </w:r>
    </w:p>
    <w:p w:rsidR="00266ABD" w:rsidRDefault="00266ABD" w:rsidP="0046342A">
      <w:pPr>
        <w:jc w:val="both"/>
        <w:rPr>
          <w:sz w:val="32"/>
          <w:szCs w:val="32"/>
        </w:rPr>
      </w:pPr>
    </w:p>
    <w:p w:rsidR="00266ABD" w:rsidRDefault="00266ABD" w:rsidP="00E33314">
      <w:pPr>
        <w:shd w:val="clear" w:color="auto" w:fill="89FFFC"/>
        <w:jc w:val="both"/>
        <w:rPr>
          <w:sz w:val="32"/>
          <w:szCs w:val="32"/>
        </w:rPr>
      </w:pPr>
      <w:r>
        <w:rPr>
          <w:sz w:val="32"/>
          <w:szCs w:val="32"/>
        </w:rPr>
        <w:t>B/ Regard européen sur le poids des dépenses publiques locales :</w:t>
      </w:r>
    </w:p>
    <w:p w:rsidR="00266ABD" w:rsidRDefault="00266ABD" w:rsidP="00E33314">
      <w:pPr>
        <w:shd w:val="clear" w:color="auto" w:fill="89FFFC"/>
        <w:jc w:val="both"/>
        <w:rPr>
          <w:sz w:val="32"/>
          <w:szCs w:val="32"/>
        </w:rPr>
      </w:pPr>
    </w:p>
    <w:p w:rsidR="00266ABD" w:rsidRDefault="00266ABD" w:rsidP="00E33314">
      <w:pPr>
        <w:shd w:val="clear" w:color="auto" w:fill="89FFFC"/>
        <w:jc w:val="both"/>
        <w:rPr>
          <w:sz w:val="32"/>
          <w:szCs w:val="32"/>
        </w:rPr>
      </w:pPr>
      <w:r>
        <w:rPr>
          <w:sz w:val="32"/>
          <w:szCs w:val="32"/>
        </w:rPr>
        <w:t xml:space="preserve">Un premier groupe d’États est celui dont les collectivités locales dépenses plus que la moyenne européenne des 27 (17,9% du PIB). Il est composé de 3 États fédéraux (Belgique, Allemagne et Autriche) + l’Espagne (État </w:t>
      </w:r>
      <w:r w:rsidR="00DC1B86">
        <w:rPr>
          <w:sz w:val="32"/>
          <w:szCs w:val="32"/>
        </w:rPr>
        <w:t>des autonomies</w:t>
      </w:r>
      <w:r>
        <w:rPr>
          <w:sz w:val="32"/>
          <w:szCs w:val="32"/>
        </w:rPr>
        <w:t xml:space="preserve">) + 3 pays scandinaves (Danemark, Suède et Finlande). </w:t>
      </w:r>
    </w:p>
    <w:p w:rsidR="00266ABD" w:rsidRDefault="00266ABD" w:rsidP="00E33314">
      <w:pPr>
        <w:shd w:val="clear" w:color="auto" w:fill="89FFFC"/>
        <w:jc w:val="both"/>
        <w:rPr>
          <w:sz w:val="32"/>
          <w:szCs w:val="32"/>
        </w:rPr>
      </w:pPr>
    </w:p>
    <w:p w:rsidR="00266ABD" w:rsidRDefault="00266ABD" w:rsidP="00E33314">
      <w:pPr>
        <w:shd w:val="clear" w:color="auto" w:fill="89FFFC"/>
        <w:jc w:val="both"/>
        <w:rPr>
          <w:sz w:val="32"/>
          <w:szCs w:val="32"/>
        </w:rPr>
      </w:pPr>
      <w:r>
        <w:rPr>
          <w:sz w:val="32"/>
          <w:szCs w:val="32"/>
        </w:rPr>
        <w:lastRenderedPageBreak/>
        <w:t xml:space="preserve">Puis, juste en dessous de la moyenne européenne, nous trouvons 5 pays présentant un taux de dépenses publiques locales compris entre 15 et quasiment 13% du PIB avec l’Italie, la Pologne, les Pays-Bas, la Croatie et la République Tchèque. </w:t>
      </w:r>
    </w:p>
    <w:p w:rsidR="00266ABD" w:rsidRDefault="00266ABD" w:rsidP="00E33314">
      <w:pPr>
        <w:shd w:val="clear" w:color="auto" w:fill="89FFFC"/>
        <w:jc w:val="both"/>
        <w:rPr>
          <w:sz w:val="32"/>
          <w:szCs w:val="32"/>
        </w:rPr>
      </w:pPr>
    </w:p>
    <w:p w:rsidR="00266ABD" w:rsidRDefault="00266ABD" w:rsidP="00E33314">
      <w:pPr>
        <w:shd w:val="clear" w:color="auto" w:fill="89FFFC"/>
        <w:jc w:val="both"/>
        <w:rPr>
          <w:sz w:val="32"/>
          <w:szCs w:val="32"/>
        </w:rPr>
      </w:pPr>
      <w:r>
        <w:rPr>
          <w:sz w:val="32"/>
          <w:szCs w:val="32"/>
        </w:rPr>
        <w:t xml:space="preserve">La France, avec un taux de 11,2% du PIB de dépenses publiques locales est </w:t>
      </w:r>
      <w:r w:rsidRPr="00DC1B86">
        <w:rPr>
          <w:sz w:val="32"/>
          <w:szCs w:val="32"/>
          <w:u w:val="single"/>
        </w:rPr>
        <w:t>située juste au-dessous de la République Tchèque et juste au-dessus des Pays Baltes</w:t>
      </w:r>
      <w:r>
        <w:rPr>
          <w:sz w:val="32"/>
          <w:szCs w:val="32"/>
        </w:rPr>
        <w:t xml:space="preserve">. La France a des dépenses publiques locales largement inférieures à la moyenne des pays de l’UE-27. 11,2% contre 17,9% ce qui correspond à un différentiel de </w:t>
      </w:r>
      <w:r w:rsidR="00E33314">
        <w:rPr>
          <w:sz w:val="32"/>
          <w:szCs w:val="32"/>
        </w:rPr>
        <w:t>6,8% du PIB. Dans le classement européen d’Eurostat, la France arrive en 13</w:t>
      </w:r>
      <w:r w:rsidR="00E33314" w:rsidRPr="00E33314">
        <w:rPr>
          <w:sz w:val="32"/>
          <w:szCs w:val="32"/>
          <w:vertAlign w:val="superscript"/>
        </w:rPr>
        <w:t>ème</w:t>
      </w:r>
      <w:r w:rsidR="00E33314">
        <w:rPr>
          <w:sz w:val="32"/>
          <w:szCs w:val="32"/>
        </w:rPr>
        <w:t xml:space="preserve"> position. En-dessous d’elle, elle a 14 autres États dont les collectivités locales dépensent encore moins qu’elle. </w:t>
      </w:r>
    </w:p>
    <w:p w:rsidR="00E33314" w:rsidRDefault="00E33314" w:rsidP="0046342A">
      <w:pPr>
        <w:jc w:val="both"/>
        <w:rPr>
          <w:sz w:val="32"/>
          <w:szCs w:val="32"/>
        </w:rPr>
      </w:pPr>
    </w:p>
    <w:p w:rsidR="00E33314" w:rsidRDefault="00E33314" w:rsidP="00E33314">
      <w:pPr>
        <w:shd w:val="clear" w:color="auto" w:fill="91FF81"/>
        <w:jc w:val="both"/>
        <w:rPr>
          <w:sz w:val="32"/>
          <w:szCs w:val="32"/>
        </w:rPr>
      </w:pPr>
      <w:r>
        <w:rPr>
          <w:sz w:val="32"/>
          <w:szCs w:val="32"/>
        </w:rPr>
        <w:t>C/ Regard européen sur le poids des dépenses d’investissement des APUL par rapport au total des investissements publics :</w:t>
      </w:r>
    </w:p>
    <w:p w:rsidR="00E33314" w:rsidRDefault="00E33314" w:rsidP="00E33314">
      <w:pPr>
        <w:shd w:val="clear" w:color="auto" w:fill="91FF81"/>
        <w:jc w:val="both"/>
        <w:rPr>
          <w:sz w:val="32"/>
          <w:szCs w:val="32"/>
        </w:rPr>
      </w:pPr>
    </w:p>
    <w:p w:rsidR="00E33314" w:rsidRDefault="00E33314" w:rsidP="00E33314">
      <w:pPr>
        <w:shd w:val="clear" w:color="auto" w:fill="91FF81"/>
        <w:jc w:val="both"/>
        <w:rPr>
          <w:sz w:val="32"/>
          <w:szCs w:val="32"/>
        </w:rPr>
      </w:pPr>
      <w:r>
        <w:rPr>
          <w:sz w:val="32"/>
          <w:szCs w:val="32"/>
        </w:rPr>
        <w:t>Cette fois, la France figure parmi les 5 pays en tête du Hit-Parade !</w:t>
      </w:r>
    </w:p>
    <w:p w:rsidR="00DC1B86" w:rsidRDefault="00E33314" w:rsidP="00E33314">
      <w:pPr>
        <w:shd w:val="clear" w:color="auto" w:fill="91FF81"/>
        <w:jc w:val="both"/>
        <w:rPr>
          <w:sz w:val="32"/>
          <w:szCs w:val="32"/>
        </w:rPr>
      </w:pPr>
      <w:r>
        <w:rPr>
          <w:sz w:val="32"/>
          <w:szCs w:val="32"/>
        </w:rPr>
        <w:t>D’abord 2 États fédéraux (Belgique &amp; Allemagne), puis l’Espagne (État des autonomies), enfin la Finlande puis la France en 5</w:t>
      </w:r>
      <w:r w:rsidRPr="00E33314">
        <w:rPr>
          <w:sz w:val="32"/>
          <w:szCs w:val="32"/>
          <w:vertAlign w:val="superscript"/>
        </w:rPr>
        <w:t>ème</w:t>
      </w:r>
      <w:r>
        <w:rPr>
          <w:sz w:val="32"/>
          <w:szCs w:val="32"/>
        </w:rPr>
        <w:t xml:space="preserve"> position avec un taux de 58,7% pour 2021. Ce taux a augmenté car il était à 56,7% pour l’année 2020. La moyenne européenne étant à 55,5% du PIB, la France est le seul pays qui se situe juste au-dessus de la moyenne européenne. Les 22 autres États membres sont situés au-dessous de la moyenne européenne. Voyez la liste…</w:t>
      </w:r>
    </w:p>
    <w:p w:rsidR="00E33314" w:rsidRDefault="00E33314" w:rsidP="00E33314">
      <w:pPr>
        <w:jc w:val="both"/>
        <w:rPr>
          <w:sz w:val="32"/>
          <w:szCs w:val="32"/>
        </w:rPr>
      </w:pPr>
    </w:p>
    <w:p w:rsidR="00E33314" w:rsidRDefault="00E33314" w:rsidP="00E33314">
      <w:pPr>
        <w:jc w:val="both"/>
        <w:rPr>
          <w:sz w:val="32"/>
          <w:szCs w:val="32"/>
        </w:rPr>
      </w:pPr>
    </w:p>
    <w:p w:rsidR="00E33314" w:rsidRDefault="00E33314" w:rsidP="00DC1B86">
      <w:pPr>
        <w:shd w:val="clear" w:color="auto" w:fill="FFC1F3"/>
        <w:jc w:val="both"/>
        <w:rPr>
          <w:sz w:val="32"/>
          <w:szCs w:val="32"/>
        </w:rPr>
      </w:pPr>
      <w:r>
        <w:rPr>
          <w:sz w:val="32"/>
          <w:szCs w:val="32"/>
        </w:rPr>
        <w:t>Épilogue :</w:t>
      </w:r>
    </w:p>
    <w:p w:rsidR="00E33314" w:rsidRPr="00DC1B86" w:rsidRDefault="00E33314" w:rsidP="00DC1B86">
      <w:pPr>
        <w:shd w:val="clear" w:color="auto" w:fill="FFC1F3"/>
        <w:jc w:val="both"/>
        <w:rPr>
          <w:b/>
          <w:bCs/>
          <w:sz w:val="32"/>
          <w:szCs w:val="32"/>
        </w:rPr>
      </w:pPr>
      <w:r w:rsidRPr="00DC1B86">
        <w:rPr>
          <w:b/>
          <w:bCs/>
          <w:sz w:val="32"/>
          <w:szCs w:val="32"/>
        </w:rPr>
        <w:t xml:space="preserve">Comment font les </w:t>
      </w:r>
      <w:r w:rsidR="00DC1B86" w:rsidRPr="00DC1B86">
        <w:rPr>
          <w:b/>
          <w:bCs/>
          <w:sz w:val="32"/>
          <w:szCs w:val="32"/>
        </w:rPr>
        <w:t>APUL françaises pour vivre ?</w:t>
      </w:r>
    </w:p>
    <w:p w:rsidR="00DC1B86" w:rsidRDefault="00DC1B86" w:rsidP="00DC1B86">
      <w:pPr>
        <w:shd w:val="clear" w:color="auto" w:fill="FFC1F3"/>
        <w:jc w:val="both"/>
        <w:rPr>
          <w:sz w:val="32"/>
          <w:szCs w:val="32"/>
        </w:rPr>
      </w:pPr>
      <w:r>
        <w:rPr>
          <w:sz w:val="32"/>
          <w:szCs w:val="32"/>
        </w:rPr>
        <w:t>Comment font-elles pour équilibrer leurs finances publiques locales ?</w:t>
      </w:r>
    </w:p>
    <w:p w:rsidR="00DC1B86" w:rsidRDefault="00DC1B86" w:rsidP="00DC1B86">
      <w:pPr>
        <w:shd w:val="clear" w:color="auto" w:fill="FFC1F3"/>
        <w:jc w:val="both"/>
        <w:rPr>
          <w:sz w:val="32"/>
          <w:szCs w:val="32"/>
        </w:rPr>
      </w:pPr>
    </w:p>
    <w:p w:rsidR="00DC1B86" w:rsidRDefault="00DC1B86" w:rsidP="00DC1B86">
      <w:pPr>
        <w:shd w:val="clear" w:color="auto" w:fill="FFC1F3"/>
        <w:jc w:val="both"/>
        <w:rPr>
          <w:sz w:val="32"/>
          <w:szCs w:val="32"/>
        </w:rPr>
      </w:pPr>
      <w:r>
        <w:rPr>
          <w:sz w:val="32"/>
          <w:szCs w:val="32"/>
        </w:rPr>
        <w:t>Taux de dépenses publiques = 11,2% du PIB</w:t>
      </w:r>
    </w:p>
    <w:p w:rsidR="00DC1B86" w:rsidRDefault="00DC1B86" w:rsidP="00DC1B86">
      <w:pPr>
        <w:shd w:val="clear" w:color="auto" w:fill="FFC1F3"/>
        <w:jc w:val="both"/>
        <w:rPr>
          <w:sz w:val="32"/>
          <w:szCs w:val="32"/>
        </w:rPr>
      </w:pPr>
      <w:r>
        <w:rPr>
          <w:sz w:val="32"/>
          <w:szCs w:val="32"/>
        </w:rPr>
        <w:t>Taux de PO                               =   6,5% du PIB correspondant aux impôts locaux</w:t>
      </w:r>
    </w:p>
    <w:p w:rsidR="00DC1B86" w:rsidRDefault="00DC1B86" w:rsidP="00DC1B86">
      <w:pPr>
        <w:shd w:val="clear" w:color="auto" w:fill="FFC1F3"/>
        <w:jc w:val="both"/>
        <w:rPr>
          <w:sz w:val="32"/>
          <w:szCs w:val="32"/>
        </w:rPr>
      </w:pPr>
      <w:r>
        <w:rPr>
          <w:sz w:val="32"/>
          <w:szCs w:val="32"/>
        </w:rPr>
        <w:t>----------------------------------------------------------</w:t>
      </w:r>
    </w:p>
    <w:p w:rsidR="00DC1B86" w:rsidRDefault="00DC1B86" w:rsidP="00DC1B86">
      <w:pPr>
        <w:shd w:val="clear" w:color="auto" w:fill="FFC1F3"/>
        <w:jc w:val="both"/>
        <w:rPr>
          <w:sz w:val="32"/>
          <w:szCs w:val="32"/>
        </w:rPr>
      </w:pPr>
      <w:r>
        <w:rPr>
          <w:sz w:val="32"/>
          <w:szCs w:val="32"/>
        </w:rPr>
        <w:t>Il manque la différence de    =   4,7</w:t>
      </w:r>
      <w:proofErr w:type="gramStart"/>
      <w:r>
        <w:rPr>
          <w:sz w:val="32"/>
          <w:szCs w:val="32"/>
        </w:rPr>
        <w:t>%  du</w:t>
      </w:r>
      <w:proofErr w:type="gramEnd"/>
      <w:r>
        <w:rPr>
          <w:sz w:val="32"/>
          <w:szCs w:val="32"/>
        </w:rPr>
        <w:t xml:space="preserve"> PIB ce qui fait environ 120 Mds€</w:t>
      </w:r>
    </w:p>
    <w:p w:rsidR="00DC1B86" w:rsidRDefault="00DC1B86" w:rsidP="00DC1B86">
      <w:pPr>
        <w:shd w:val="clear" w:color="auto" w:fill="FFC1F3"/>
        <w:jc w:val="both"/>
        <w:rPr>
          <w:sz w:val="32"/>
          <w:szCs w:val="32"/>
        </w:rPr>
      </w:pPr>
    </w:p>
    <w:p w:rsidR="00DC1B86" w:rsidRDefault="00DC1B86" w:rsidP="00DC1B86">
      <w:pPr>
        <w:shd w:val="clear" w:color="auto" w:fill="FFC1F3"/>
        <w:jc w:val="both"/>
        <w:rPr>
          <w:sz w:val="32"/>
          <w:szCs w:val="32"/>
        </w:rPr>
      </w:pPr>
      <w:r>
        <w:rPr>
          <w:sz w:val="32"/>
          <w:szCs w:val="32"/>
        </w:rPr>
        <w:t>Comment font les APUL pour financer ces 120 Mds d’euros ?</w:t>
      </w:r>
    </w:p>
    <w:p w:rsidR="00E33314" w:rsidRPr="0046342A" w:rsidRDefault="00DC1B86" w:rsidP="00DC1B86">
      <w:pPr>
        <w:shd w:val="clear" w:color="auto" w:fill="FFC1F3"/>
        <w:jc w:val="both"/>
        <w:rPr>
          <w:sz w:val="32"/>
          <w:szCs w:val="32"/>
        </w:rPr>
      </w:pPr>
      <w:r>
        <w:rPr>
          <w:sz w:val="32"/>
          <w:szCs w:val="32"/>
        </w:rPr>
        <w:t>Elles ont à peu près 20 Mds d’euros de revenus du domaine + redevances pour services rendus (cantines, garderies, écoles de musique…). Mais cela ne suffit pas. Il faut que l’État complète pour boucler (transferts financiers de l’État)</w:t>
      </w:r>
    </w:p>
    <w:sectPr w:rsidR="00E33314" w:rsidRPr="0046342A" w:rsidSect="00266ABD">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42A"/>
    <w:rsid w:val="00266ABD"/>
    <w:rsid w:val="00305C48"/>
    <w:rsid w:val="003431FC"/>
    <w:rsid w:val="0046342A"/>
    <w:rsid w:val="00D12AE0"/>
    <w:rsid w:val="00DC1B86"/>
    <w:rsid w:val="00E33314"/>
    <w:rsid w:val="00F664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D62AA2D"/>
  <w15:chartTrackingRefBased/>
  <w15:docId w15:val="{91C678A3-602B-214E-8DED-8B6B46D2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583</Words>
  <Characters>3207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Douat Hélène</dc:creator>
  <cp:keywords/>
  <dc:description/>
  <cp:lastModifiedBy>Douat Hélène</cp:lastModifiedBy>
  <cp:revision>1</cp:revision>
  <dcterms:created xsi:type="dcterms:W3CDTF">2023-01-18T00:24:00Z</dcterms:created>
  <dcterms:modified xsi:type="dcterms:W3CDTF">2023-01-18T01:05:00Z</dcterms:modified>
</cp:coreProperties>
</file>