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C52" w:rsidRPr="00432C52" w:rsidRDefault="00454B6F" w:rsidP="00432C52">
      <w:pPr>
        <w:jc w:val="center"/>
        <w:rPr>
          <w:b/>
          <w:bCs/>
          <w:sz w:val="36"/>
          <w:szCs w:val="36"/>
        </w:rPr>
      </w:pPr>
      <w:r w:rsidRPr="00432C52">
        <w:rPr>
          <w:b/>
          <w:bCs/>
          <w:sz w:val="36"/>
          <w:szCs w:val="36"/>
        </w:rPr>
        <w:t>Dépenses d’investissement des APUL</w:t>
      </w:r>
    </w:p>
    <w:p w:rsidR="00454B6F" w:rsidRPr="00432C52" w:rsidRDefault="00454B6F" w:rsidP="00432C52">
      <w:pPr>
        <w:jc w:val="center"/>
        <w:rPr>
          <w:b/>
          <w:bCs/>
          <w:sz w:val="36"/>
          <w:szCs w:val="36"/>
        </w:rPr>
      </w:pPr>
      <w:proofErr w:type="gramStart"/>
      <w:r w:rsidRPr="00432C52">
        <w:rPr>
          <w:b/>
          <w:bCs/>
          <w:sz w:val="36"/>
          <w:szCs w:val="36"/>
        </w:rPr>
        <w:t>en</w:t>
      </w:r>
      <w:proofErr w:type="gramEnd"/>
      <w:r w:rsidRPr="00432C52">
        <w:rPr>
          <w:b/>
          <w:bCs/>
          <w:sz w:val="36"/>
          <w:szCs w:val="36"/>
        </w:rPr>
        <w:t xml:space="preserve"> % des investissements publics en 2021</w:t>
      </w:r>
    </w:p>
    <w:p w:rsidR="00454B6F" w:rsidRPr="00432C52" w:rsidRDefault="00454B6F" w:rsidP="00432C52">
      <w:pPr>
        <w:jc w:val="center"/>
        <w:rPr>
          <w:sz w:val="20"/>
          <w:szCs w:val="20"/>
        </w:rPr>
      </w:pPr>
      <w:r w:rsidRPr="00432C52">
        <w:rPr>
          <w:sz w:val="20"/>
          <w:szCs w:val="20"/>
        </w:rPr>
        <w:t>ORIGINE : EUROSTAT (les collectivités locales en chiffres 2022 n°9-1)</w:t>
      </w:r>
    </w:p>
    <w:p w:rsidR="00454B6F" w:rsidRDefault="00454B6F"/>
    <w:p w:rsidR="00454B6F" w:rsidRDefault="00454B6F"/>
    <w:p w:rsidR="00454B6F" w:rsidRPr="00432C52" w:rsidRDefault="00454B6F" w:rsidP="00454B6F">
      <w:pPr>
        <w:jc w:val="center"/>
        <w:rPr>
          <w:sz w:val="32"/>
          <w:szCs w:val="32"/>
          <w:u w:val="single"/>
        </w:rPr>
      </w:pPr>
      <w:r w:rsidRPr="00432C52">
        <w:rPr>
          <w:sz w:val="32"/>
          <w:szCs w:val="32"/>
          <w:u w:val="single"/>
        </w:rPr>
        <w:t>5 pays au-dessus de la moyenne de l’UE-27</w:t>
      </w:r>
    </w:p>
    <w:p w:rsidR="00454B6F" w:rsidRPr="00432C52" w:rsidRDefault="00454B6F" w:rsidP="00454B6F">
      <w:pPr>
        <w:jc w:val="center"/>
        <w:rPr>
          <w:b/>
          <w:bCs/>
          <w:sz w:val="32"/>
          <w:szCs w:val="32"/>
        </w:rPr>
      </w:pPr>
      <w:r w:rsidRPr="00432C52">
        <w:rPr>
          <w:b/>
          <w:bCs/>
          <w:sz w:val="32"/>
          <w:szCs w:val="32"/>
        </w:rPr>
        <w:t>75,3% Belgique</w:t>
      </w:r>
    </w:p>
    <w:p w:rsidR="00454B6F" w:rsidRPr="00432C52" w:rsidRDefault="00454B6F" w:rsidP="00454B6F">
      <w:pPr>
        <w:jc w:val="center"/>
        <w:rPr>
          <w:b/>
          <w:bCs/>
          <w:sz w:val="32"/>
          <w:szCs w:val="32"/>
        </w:rPr>
      </w:pPr>
      <w:r w:rsidRPr="00432C52">
        <w:rPr>
          <w:b/>
          <w:bCs/>
          <w:sz w:val="32"/>
          <w:szCs w:val="32"/>
        </w:rPr>
        <w:t>68,9% Allemagne</w:t>
      </w:r>
    </w:p>
    <w:p w:rsidR="00454B6F" w:rsidRPr="00432C52" w:rsidRDefault="00454B6F" w:rsidP="00454B6F">
      <w:pPr>
        <w:jc w:val="center"/>
        <w:rPr>
          <w:b/>
          <w:bCs/>
          <w:sz w:val="32"/>
          <w:szCs w:val="32"/>
        </w:rPr>
      </w:pPr>
      <w:r w:rsidRPr="00432C52">
        <w:rPr>
          <w:b/>
          <w:bCs/>
          <w:sz w:val="32"/>
          <w:szCs w:val="32"/>
        </w:rPr>
        <w:t>67,2% Espagne</w:t>
      </w:r>
    </w:p>
    <w:p w:rsidR="00454B6F" w:rsidRPr="00454B6F" w:rsidRDefault="00454B6F" w:rsidP="00454B6F">
      <w:pPr>
        <w:jc w:val="center"/>
        <w:rPr>
          <w:sz w:val="32"/>
          <w:szCs w:val="32"/>
        </w:rPr>
      </w:pPr>
      <w:r w:rsidRPr="00454B6F">
        <w:rPr>
          <w:sz w:val="32"/>
          <w:szCs w:val="32"/>
        </w:rPr>
        <w:t>60,6% Finlande</w:t>
      </w:r>
    </w:p>
    <w:p w:rsidR="00454B6F" w:rsidRPr="00432C52" w:rsidRDefault="00454B6F" w:rsidP="00454B6F">
      <w:pPr>
        <w:jc w:val="center"/>
        <w:rPr>
          <w:sz w:val="32"/>
          <w:szCs w:val="32"/>
          <w:u w:val="single"/>
        </w:rPr>
      </w:pPr>
      <w:r w:rsidRPr="00432C52">
        <w:rPr>
          <w:sz w:val="32"/>
          <w:szCs w:val="32"/>
          <w:u w:val="single"/>
        </w:rPr>
        <w:t>58,7% France</w:t>
      </w:r>
    </w:p>
    <w:p w:rsidR="00454B6F" w:rsidRPr="00454B6F" w:rsidRDefault="00454B6F" w:rsidP="00454B6F">
      <w:pPr>
        <w:jc w:val="center"/>
        <w:rPr>
          <w:sz w:val="32"/>
          <w:szCs w:val="32"/>
        </w:rPr>
      </w:pPr>
    </w:p>
    <w:p w:rsidR="00454B6F" w:rsidRPr="00432C52" w:rsidRDefault="00454B6F" w:rsidP="00454B6F">
      <w:pPr>
        <w:jc w:val="center"/>
        <w:rPr>
          <w:b/>
          <w:bCs/>
          <w:sz w:val="36"/>
          <w:szCs w:val="36"/>
        </w:rPr>
      </w:pPr>
      <w:r w:rsidRPr="00432C52">
        <w:rPr>
          <w:b/>
          <w:bCs/>
          <w:sz w:val="36"/>
          <w:szCs w:val="36"/>
        </w:rPr>
        <w:t>55,5% Moyenne UE-27</w:t>
      </w:r>
    </w:p>
    <w:p w:rsidR="00454B6F" w:rsidRDefault="00454B6F" w:rsidP="00454B6F">
      <w:pPr>
        <w:jc w:val="center"/>
        <w:rPr>
          <w:sz w:val="32"/>
          <w:szCs w:val="32"/>
        </w:rPr>
      </w:pPr>
    </w:p>
    <w:p w:rsidR="00454B6F" w:rsidRPr="00432C52" w:rsidRDefault="00454B6F" w:rsidP="00454B6F">
      <w:pPr>
        <w:jc w:val="center"/>
        <w:rPr>
          <w:sz w:val="32"/>
          <w:szCs w:val="32"/>
          <w:u w:val="single"/>
        </w:rPr>
      </w:pPr>
      <w:r w:rsidRPr="00432C52">
        <w:rPr>
          <w:sz w:val="32"/>
          <w:szCs w:val="32"/>
          <w:u w:val="single"/>
        </w:rPr>
        <w:t>22 pays en dessous de la moyenne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56,7% Roumanie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52,7% Italie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52,4% Bulgarie</w:t>
      </w:r>
    </w:p>
    <w:p w:rsidR="00454B6F" w:rsidRDefault="00454B6F" w:rsidP="00454B6F">
      <w:pPr>
        <w:pBdr>
          <w:bottom w:val="single" w:sz="6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52,1% Portugal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49,7% Pays-Bas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48,7% Suède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46,9% Danemark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44,8% République Tchèque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44,3% Pologne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44,2% Lettonie</w:t>
      </w:r>
    </w:p>
    <w:p w:rsidR="00454B6F" w:rsidRDefault="00454B6F" w:rsidP="00454B6F">
      <w:pPr>
        <w:pBdr>
          <w:bottom w:val="single" w:sz="6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42,3% Croatie</w:t>
      </w:r>
    </w:p>
    <w:p w:rsidR="00454B6F" w:rsidRPr="00432C52" w:rsidRDefault="00454B6F" w:rsidP="00454B6F">
      <w:pPr>
        <w:jc w:val="center"/>
        <w:rPr>
          <w:b/>
          <w:bCs/>
          <w:sz w:val="32"/>
          <w:szCs w:val="32"/>
        </w:rPr>
      </w:pPr>
      <w:r w:rsidRPr="00432C52">
        <w:rPr>
          <w:b/>
          <w:bCs/>
          <w:sz w:val="32"/>
          <w:szCs w:val="32"/>
        </w:rPr>
        <w:t>39,9% Autriche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38,2% Luxembourg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37,6% Slovénie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36,1% Estonie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35,5% Lituanie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30,8% Grèce</w:t>
      </w:r>
    </w:p>
    <w:p w:rsidR="00454B6F" w:rsidRDefault="00454B6F" w:rsidP="00454B6F">
      <w:pPr>
        <w:pBdr>
          <w:bottom w:val="single" w:sz="6" w:space="1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30,7% Slovaquie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29,2% Irlande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22,6% Hongrie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16,0% Chypre</w:t>
      </w:r>
    </w:p>
    <w:p w:rsidR="00454B6F" w:rsidRDefault="00454B6F" w:rsidP="00454B6F">
      <w:pPr>
        <w:jc w:val="center"/>
        <w:rPr>
          <w:sz w:val="32"/>
          <w:szCs w:val="32"/>
        </w:rPr>
      </w:pPr>
      <w:r>
        <w:rPr>
          <w:sz w:val="32"/>
          <w:szCs w:val="32"/>
        </w:rPr>
        <w:t>1,8% Malte</w:t>
      </w:r>
    </w:p>
    <w:p w:rsidR="00454B6F" w:rsidRPr="00454B6F" w:rsidRDefault="00454B6F" w:rsidP="00454B6F">
      <w:pPr>
        <w:jc w:val="center"/>
        <w:rPr>
          <w:sz w:val="32"/>
          <w:szCs w:val="32"/>
        </w:rPr>
      </w:pPr>
    </w:p>
    <w:sectPr w:rsidR="00454B6F" w:rsidRPr="00454B6F" w:rsidSect="00454B6F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B6F"/>
    <w:rsid w:val="00305C48"/>
    <w:rsid w:val="00432C52"/>
    <w:rsid w:val="00454B6F"/>
    <w:rsid w:val="00D12AE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561A85"/>
  <w15:chartTrackingRefBased/>
  <w15:docId w15:val="{D08F824B-15C1-DB46-839C-5D44C29C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2023-01-16T08:47:00Z</dcterms:created>
  <dcterms:modified xsi:type="dcterms:W3CDTF">2023-01-16T09:03:00Z</dcterms:modified>
</cp:coreProperties>
</file>