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BCA" w:rsidRDefault="00437BCA" w:rsidP="00437BCA"/>
    <w:p w:rsidR="00437BCA" w:rsidRPr="00437BCA" w:rsidRDefault="00437BCA" w:rsidP="00437BCA">
      <w:pPr>
        <w:ind w:firstLine="708"/>
        <w:jc w:val="center"/>
        <w:rPr>
          <w:sz w:val="32"/>
          <w:szCs w:val="32"/>
        </w:rPr>
      </w:pPr>
      <w:r w:rsidRPr="00437BCA">
        <w:rPr>
          <w:sz w:val="32"/>
          <w:szCs w:val="32"/>
        </w:rPr>
        <w:t>Dépenses locales en % du PIB en 2021</w:t>
      </w:r>
    </w:p>
    <w:p w:rsidR="00437BCA" w:rsidRPr="00437BCA" w:rsidRDefault="00437BCA" w:rsidP="00437BCA">
      <w:pPr>
        <w:ind w:firstLine="708"/>
        <w:jc w:val="center"/>
        <w:rPr>
          <w:sz w:val="32"/>
          <w:szCs w:val="32"/>
        </w:rPr>
      </w:pPr>
      <w:r w:rsidRPr="00437BCA">
        <w:rPr>
          <w:sz w:val="32"/>
          <w:szCs w:val="32"/>
        </w:rPr>
        <w:t>(</w:t>
      </w:r>
      <w:proofErr w:type="gramStart"/>
      <w:r w:rsidRPr="00437BCA">
        <w:rPr>
          <w:sz w:val="32"/>
          <w:szCs w:val="32"/>
        </w:rPr>
        <w:t>origine</w:t>
      </w:r>
      <w:proofErr w:type="gramEnd"/>
      <w:r w:rsidRPr="00437BCA">
        <w:rPr>
          <w:sz w:val="32"/>
          <w:szCs w:val="32"/>
        </w:rPr>
        <w:t> : EUROSTAT, les collectivités locales en chiffres, 2022, n°9-1)</w:t>
      </w:r>
    </w:p>
    <w:p w:rsidR="00437BCA" w:rsidRPr="00437BCA" w:rsidRDefault="00437BCA" w:rsidP="00437BCA">
      <w:pPr>
        <w:ind w:firstLine="708"/>
        <w:rPr>
          <w:sz w:val="32"/>
          <w:szCs w:val="32"/>
        </w:rPr>
      </w:pPr>
    </w:p>
    <w:p w:rsidR="00437BCA" w:rsidRPr="00437BCA" w:rsidRDefault="00437BCA" w:rsidP="00437BCA">
      <w:pPr>
        <w:ind w:firstLine="708"/>
        <w:rPr>
          <w:sz w:val="32"/>
          <w:szCs w:val="32"/>
        </w:rPr>
      </w:pPr>
    </w:p>
    <w:p w:rsidR="00437BCA" w:rsidRPr="00437BCA" w:rsidRDefault="00437BCA" w:rsidP="00437BCA">
      <w:pPr>
        <w:ind w:firstLine="708"/>
        <w:jc w:val="center"/>
        <w:rPr>
          <w:sz w:val="32"/>
          <w:szCs w:val="32"/>
        </w:rPr>
      </w:pPr>
    </w:p>
    <w:p w:rsidR="00437BCA" w:rsidRDefault="00437BCA" w:rsidP="00437BCA">
      <w:pPr>
        <w:ind w:firstLine="708"/>
        <w:jc w:val="center"/>
        <w:rPr>
          <w:sz w:val="32"/>
          <w:szCs w:val="32"/>
        </w:rPr>
      </w:pPr>
      <w:r w:rsidRPr="00437BCA">
        <w:rPr>
          <w:sz w:val="32"/>
          <w:szCs w:val="32"/>
        </w:rPr>
        <w:t>Premier groupe de pays au-dessus de la moyenne européenne</w:t>
      </w:r>
    </w:p>
    <w:p w:rsidR="00172BDC" w:rsidRPr="00172BDC" w:rsidRDefault="00172BDC" w:rsidP="00437BCA">
      <w:pPr>
        <w:ind w:firstLine="708"/>
        <w:jc w:val="center"/>
        <w:rPr>
          <w:b/>
          <w:bCs/>
          <w:sz w:val="32"/>
          <w:szCs w:val="32"/>
        </w:rPr>
      </w:pPr>
      <w:r w:rsidRPr="00172BDC">
        <w:rPr>
          <w:b/>
          <w:bCs/>
          <w:sz w:val="32"/>
          <w:szCs w:val="32"/>
        </w:rPr>
        <w:t>Composé des 3 États fédérés + Espagne + 3 pays scandinaves</w:t>
      </w:r>
    </w:p>
    <w:p w:rsidR="00437BCA" w:rsidRPr="00437BCA" w:rsidRDefault="00437BCA" w:rsidP="00437BCA">
      <w:pPr>
        <w:ind w:firstLine="708"/>
        <w:jc w:val="center"/>
        <w:rPr>
          <w:sz w:val="32"/>
          <w:szCs w:val="32"/>
        </w:rPr>
      </w:pPr>
      <w:r w:rsidRPr="00437BCA">
        <w:rPr>
          <w:sz w:val="32"/>
          <w:szCs w:val="32"/>
        </w:rPr>
        <w:t>33,6% Danemark</w:t>
      </w:r>
    </w:p>
    <w:p w:rsidR="00437BCA" w:rsidRPr="00437BCA" w:rsidRDefault="00437BCA" w:rsidP="00437BCA">
      <w:pPr>
        <w:ind w:firstLine="708"/>
        <w:jc w:val="center"/>
        <w:rPr>
          <w:b/>
          <w:bCs/>
          <w:sz w:val="32"/>
          <w:szCs w:val="32"/>
        </w:rPr>
      </w:pPr>
      <w:r w:rsidRPr="00437BCA">
        <w:rPr>
          <w:b/>
          <w:bCs/>
          <w:sz w:val="32"/>
          <w:szCs w:val="32"/>
        </w:rPr>
        <w:t>27,3% Belgique</w:t>
      </w:r>
    </w:p>
    <w:p w:rsidR="00437BCA" w:rsidRPr="00437BCA" w:rsidRDefault="00437BCA" w:rsidP="00437BCA">
      <w:pPr>
        <w:ind w:firstLine="708"/>
        <w:jc w:val="center"/>
        <w:rPr>
          <w:sz w:val="32"/>
          <w:szCs w:val="32"/>
        </w:rPr>
      </w:pPr>
      <w:r w:rsidRPr="00437BCA">
        <w:rPr>
          <w:sz w:val="32"/>
          <w:szCs w:val="32"/>
        </w:rPr>
        <w:t>24,8% Suède</w:t>
      </w:r>
    </w:p>
    <w:p w:rsidR="00437BCA" w:rsidRPr="00437BCA" w:rsidRDefault="00437BCA" w:rsidP="00437BCA">
      <w:pPr>
        <w:ind w:firstLine="708"/>
        <w:jc w:val="center"/>
        <w:rPr>
          <w:b/>
          <w:bCs/>
          <w:sz w:val="32"/>
          <w:szCs w:val="32"/>
        </w:rPr>
      </w:pPr>
      <w:r w:rsidRPr="00437BCA">
        <w:rPr>
          <w:b/>
          <w:bCs/>
          <w:sz w:val="32"/>
          <w:szCs w:val="32"/>
        </w:rPr>
        <w:t>25,0% Espagne</w:t>
      </w:r>
    </w:p>
    <w:p w:rsidR="00437BCA" w:rsidRPr="00437BCA" w:rsidRDefault="00437BCA" w:rsidP="00437BCA">
      <w:pPr>
        <w:ind w:firstLine="708"/>
        <w:jc w:val="center"/>
        <w:rPr>
          <w:b/>
          <w:bCs/>
          <w:sz w:val="32"/>
          <w:szCs w:val="32"/>
        </w:rPr>
      </w:pPr>
      <w:r w:rsidRPr="00437BCA">
        <w:rPr>
          <w:b/>
          <w:bCs/>
          <w:sz w:val="32"/>
          <w:szCs w:val="32"/>
        </w:rPr>
        <w:t>24,9% Allemagne</w:t>
      </w:r>
    </w:p>
    <w:p w:rsidR="00437BCA" w:rsidRPr="00437BCA" w:rsidRDefault="00437BCA" w:rsidP="00437BCA">
      <w:pPr>
        <w:ind w:firstLine="708"/>
        <w:jc w:val="center"/>
        <w:rPr>
          <w:sz w:val="32"/>
          <w:szCs w:val="32"/>
        </w:rPr>
      </w:pPr>
      <w:r w:rsidRPr="00437BCA">
        <w:rPr>
          <w:sz w:val="32"/>
          <w:szCs w:val="32"/>
        </w:rPr>
        <w:t>22,7% Finlande</w:t>
      </w:r>
    </w:p>
    <w:p w:rsidR="00437BCA" w:rsidRPr="00437BCA" w:rsidRDefault="00437BCA" w:rsidP="00437BCA">
      <w:pPr>
        <w:ind w:firstLine="708"/>
        <w:jc w:val="center"/>
        <w:rPr>
          <w:b/>
          <w:bCs/>
          <w:sz w:val="32"/>
          <w:szCs w:val="32"/>
        </w:rPr>
      </w:pPr>
      <w:r w:rsidRPr="00437BCA">
        <w:rPr>
          <w:b/>
          <w:bCs/>
          <w:sz w:val="32"/>
          <w:szCs w:val="32"/>
        </w:rPr>
        <w:t>19,0% Autriche</w:t>
      </w:r>
    </w:p>
    <w:p w:rsidR="00437BCA" w:rsidRPr="00437BCA" w:rsidRDefault="00437BCA" w:rsidP="00437BCA">
      <w:pPr>
        <w:ind w:firstLine="708"/>
        <w:jc w:val="center"/>
        <w:rPr>
          <w:sz w:val="32"/>
          <w:szCs w:val="32"/>
        </w:rPr>
      </w:pPr>
    </w:p>
    <w:p w:rsidR="00437BCA" w:rsidRPr="00437BCA" w:rsidRDefault="00437BCA" w:rsidP="00437BCA">
      <w:pPr>
        <w:ind w:firstLine="708"/>
        <w:jc w:val="center"/>
        <w:rPr>
          <w:b/>
          <w:bCs/>
          <w:sz w:val="32"/>
          <w:szCs w:val="32"/>
        </w:rPr>
      </w:pPr>
      <w:r w:rsidRPr="00437BCA">
        <w:rPr>
          <w:b/>
          <w:bCs/>
          <w:sz w:val="32"/>
          <w:szCs w:val="32"/>
        </w:rPr>
        <w:t>17,9% Moyenne de l’UE-27</w:t>
      </w:r>
    </w:p>
    <w:p w:rsidR="00437BCA" w:rsidRPr="00437BCA" w:rsidRDefault="00437BCA" w:rsidP="00437BCA">
      <w:pPr>
        <w:ind w:firstLine="708"/>
        <w:jc w:val="center"/>
        <w:rPr>
          <w:sz w:val="32"/>
          <w:szCs w:val="32"/>
        </w:rPr>
      </w:pPr>
    </w:p>
    <w:p w:rsidR="00437BCA" w:rsidRPr="00437BCA" w:rsidRDefault="00437BCA" w:rsidP="00437BCA">
      <w:pPr>
        <w:ind w:firstLine="708"/>
        <w:jc w:val="center"/>
        <w:rPr>
          <w:sz w:val="32"/>
          <w:szCs w:val="32"/>
        </w:rPr>
      </w:pPr>
      <w:r w:rsidRPr="00437BCA">
        <w:rPr>
          <w:sz w:val="32"/>
          <w:szCs w:val="32"/>
        </w:rPr>
        <w:t>Second groupe de pays au-dessous de la moyenne européenne</w:t>
      </w:r>
    </w:p>
    <w:p w:rsidR="00437BCA" w:rsidRPr="00437BCA" w:rsidRDefault="00437BCA" w:rsidP="00437BCA">
      <w:pPr>
        <w:ind w:firstLine="708"/>
        <w:jc w:val="center"/>
        <w:rPr>
          <w:sz w:val="32"/>
          <w:szCs w:val="32"/>
        </w:rPr>
      </w:pPr>
      <w:r w:rsidRPr="00437BCA">
        <w:rPr>
          <w:sz w:val="32"/>
          <w:szCs w:val="32"/>
        </w:rPr>
        <w:t>15,0% Italie</w:t>
      </w:r>
    </w:p>
    <w:p w:rsidR="00437BCA" w:rsidRPr="00437BCA" w:rsidRDefault="00437BCA" w:rsidP="00437BCA">
      <w:pPr>
        <w:ind w:firstLine="708"/>
        <w:jc w:val="center"/>
        <w:rPr>
          <w:sz w:val="32"/>
          <w:szCs w:val="32"/>
        </w:rPr>
      </w:pPr>
      <w:r w:rsidRPr="00437BCA">
        <w:rPr>
          <w:sz w:val="32"/>
          <w:szCs w:val="32"/>
        </w:rPr>
        <w:t>14,2% Pologne</w:t>
      </w:r>
    </w:p>
    <w:p w:rsidR="00437BCA" w:rsidRPr="00437BCA" w:rsidRDefault="00437BCA" w:rsidP="00437BCA">
      <w:pPr>
        <w:ind w:firstLine="708"/>
        <w:jc w:val="center"/>
        <w:rPr>
          <w:sz w:val="32"/>
          <w:szCs w:val="32"/>
        </w:rPr>
      </w:pPr>
      <w:r w:rsidRPr="00437BCA">
        <w:rPr>
          <w:sz w:val="32"/>
          <w:szCs w:val="32"/>
        </w:rPr>
        <w:t>13,5% Pays-Bas</w:t>
      </w:r>
    </w:p>
    <w:p w:rsidR="00437BCA" w:rsidRPr="00437BCA" w:rsidRDefault="00437BCA" w:rsidP="00437BCA">
      <w:pPr>
        <w:ind w:firstLine="708"/>
        <w:jc w:val="center"/>
        <w:rPr>
          <w:sz w:val="32"/>
          <w:szCs w:val="32"/>
        </w:rPr>
      </w:pPr>
      <w:r w:rsidRPr="00437BCA">
        <w:rPr>
          <w:sz w:val="32"/>
          <w:szCs w:val="32"/>
        </w:rPr>
        <w:t>13,2% Croatie</w:t>
      </w:r>
    </w:p>
    <w:p w:rsidR="00437BCA" w:rsidRPr="00437BCA" w:rsidRDefault="00437BCA" w:rsidP="00437BCA">
      <w:pPr>
        <w:ind w:firstLine="708"/>
        <w:jc w:val="center"/>
        <w:rPr>
          <w:sz w:val="32"/>
          <w:szCs w:val="32"/>
        </w:rPr>
      </w:pPr>
      <w:r w:rsidRPr="00437BCA">
        <w:rPr>
          <w:sz w:val="32"/>
          <w:szCs w:val="32"/>
        </w:rPr>
        <w:t>12,8% République Tchèque</w:t>
      </w:r>
    </w:p>
    <w:p w:rsidR="00437BCA" w:rsidRPr="00437BCA" w:rsidRDefault="00437BCA" w:rsidP="00437BCA">
      <w:pPr>
        <w:ind w:firstLine="708"/>
        <w:jc w:val="center"/>
        <w:rPr>
          <w:b/>
          <w:bCs/>
          <w:sz w:val="32"/>
          <w:szCs w:val="32"/>
        </w:rPr>
      </w:pPr>
      <w:r w:rsidRPr="00437BCA">
        <w:rPr>
          <w:b/>
          <w:bCs/>
          <w:sz w:val="32"/>
          <w:szCs w:val="32"/>
        </w:rPr>
        <w:t>11,2% France</w:t>
      </w:r>
    </w:p>
    <w:p w:rsidR="00437BCA" w:rsidRPr="00437BCA" w:rsidRDefault="00437BCA" w:rsidP="00437BCA">
      <w:pPr>
        <w:ind w:firstLine="708"/>
        <w:jc w:val="center"/>
        <w:rPr>
          <w:sz w:val="32"/>
          <w:szCs w:val="32"/>
        </w:rPr>
      </w:pPr>
      <w:r w:rsidRPr="00437BCA">
        <w:rPr>
          <w:sz w:val="32"/>
          <w:szCs w:val="32"/>
        </w:rPr>
        <w:t>10,8% Lettonie</w:t>
      </w:r>
    </w:p>
    <w:p w:rsidR="00437BCA" w:rsidRPr="00437BCA" w:rsidRDefault="00437BCA" w:rsidP="00437BCA">
      <w:pPr>
        <w:pBdr>
          <w:bottom w:val="single" w:sz="6" w:space="1" w:color="auto"/>
        </w:pBdr>
        <w:ind w:firstLine="708"/>
        <w:jc w:val="center"/>
        <w:rPr>
          <w:sz w:val="32"/>
          <w:szCs w:val="32"/>
        </w:rPr>
      </w:pPr>
      <w:r w:rsidRPr="00437BCA">
        <w:rPr>
          <w:sz w:val="32"/>
          <w:szCs w:val="32"/>
        </w:rPr>
        <w:t>10,3% Estonie</w:t>
      </w:r>
    </w:p>
    <w:p w:rsidR="00437BCA" w:rsidRPr="00437BCA" w:rsidRDefault="00437BCA" w:rsidP="00437BCA">
      <w:pPr>
        <w:ind w:firstLine="708"/>
        <w:jc w:val="center"/>
        <w:rPr>
          <w:sz w:val="32"/>
          <w:szCs w:val="32"/>
        </w:rPr>
      </w:pPr>
      <w:r w:rsidRPr="00437BCA">
        <w:rPr>
          <w:sz w:val="32"/>
          <w:szCs w:val="32"/>
        </w:rPr>
        <w:t>9,3% Lituanie</w:t>
      </w:r>
    </w:p>
    <w:p w:rsidR="00437BCA" w:rsidRPr="00437BCA" w:rsidRDefault="00437BCA" w:rsidP="00437BCA">
      <w:pPr>
        <w:ind w:firstLine="708"/>
        <w:jc w:val="center"/>
        <w:rPr>
          <w:sz w:val="32"/>
          <w:szCs w:val="32"/>
        </w:rPr>
      </w:pPr>
      <w:r w:rsidRPr="00437BCA">
        <w:rPr>
          <w:sz w:val="32"/>
          <w:szCs w:val="32"/>
        </w:rPr>
        <w:t>8,9% Roumanie, Slovénie &amp; Bulgarie</w:t>
      </w:r>
    </w:p>
    <w:p w:rsidR="00437BCA" w:rsidRPr="00437BCA" w:rsidRDefault="00437BCA" w:rsidP="00437BCA">
      <w:pPr>
        <w:ind w:firstLine="708"/>
        <w:jc w:val="center"/>
        <w:rPr>
          <w:sz w:val="32"/>
          <w:szCs w:val="32"/>
        </w:rPr>
      </w:pPr>
      <w:r w:rsidRPr="00437BCA">
        <w:rPr>
          <w:sz w:val="32"/>
          <w:szCs w:val="32"/>
        </w:rPr>
        <w:t>7,9% Slovaquie</w:t>
      </w:r>
    </w:p>
    <w:p w:rsidR="00437BCA" w:rsidRPr="00437BCA" w:rsidRDefault="00437BCA" w:rsidP="00437BCA">
      <w:pPr>
        <w:ind w:firstLine="708"/>
        <w:jc w:val="center"/>
        <w:rPr>
          <w:sz w:val="32"/>
          <w:szCs w:val="32"/>
        </w:rPr>
      </w:pPr>
      <w:r w:rsidRPr="00437BCA">
        <w:rPr>
          <w:sz w:val="32"/>
          <w:szCs w:val="32"/>
        </w:rPr>
        <w:t>6,9% Portugal</w:t>
      </w:r>
    </w:p>
    <w:p w:rsidR="00437BCA" w:rsidRPr="00437BCA" w:rsidRDefault="00437BCA" w:rsidP="00437BCA">
      <w:pPr>
        <w:ind w:firstLine="708"/>
        <w:jc w:val="center"/>
        <w:rPr>
          <w:sz w:val="32"/>
          <w:szCs w:val="32"/>
        </w:rPr>
      </w:pPr>
      <w:r w:rsidRPr="00437BCA">
        <w:rPr>
          <w:sz w:val="32"/>
          <w:szCs w:val="32"/>
        </w:rPr>
        <w:t>4,6% Luxembourg</w:t>
      </w:r>
    </w:p>
    <w:p w:rsidR="00437BCA" w:rsidRPr="00437BCA" w:rsidRDefault="00437BCA" w:rsidP="00437BCA">
      <w:pPr>
        <w:ind w:firstLine="708"/>
        <w:jc w:val="center"/>
        <w:rPr>
          <w:sz w:val="32"/>
          <w:szCs w:val="32"/>
        </w:rPr>
      </w:pPr>
      <w:r w:rsidRPr="00437BCA">
        <w:rPr>
          <w:sz w:val="32"/>
          <w:szCs w:val="32"/>
        </w:rPr>
        <w:t>3,9% Grèce</w:t>
      </w:r>
    </w:p>
    <w:p w:rsidR="00437BCA" w:rsidRPr="00437BCA" w:rsidRDefault="00437BCA" w:rsidP="00437BCA">
      <w:pPr>
        <w:ind w:firstLine="708"/>
        <w:jc w:val="center"/>
        <w:rPr>
          <w:sz w:val="32"/>
          <w:szCs w:val="32"/>
        </w:rPr>
      </w:pPr>
      <w:r w:rsidRPr="00437BCA">
        <w:rPr>
          <w:sz w:val="32"/>
          <w:szCs w:val="32"/>
        </w:rPr>
        <w:t>2,2% Irlande</w:t>
      </w:r>
    </w:p>
    <w:p w:rsidR="00437BCA" w:rsidRPr="00437BCA" w:rsidRDefault="00437BCA" w:rsidP="00437BCA">
      <w:pPr>
        <w:ind w:firstLine="708"/>
        <w:jc w:val="center"/>
        <w:rPr>
          <w:sz w:val="32"/>
          <w:szCs w:val="32"/>
        </w:rPr>
      </w:pPr>
      <w:r w:rsidRPr="00437BCA">
        <w:rPr>
          <w:sz w:val="32"/>
          <w:szCs w:val="32"/>
        </w:rPr>
        <w:t>1,5% Chypre</w:t>
      </w:r>
    </w:p>
    <w:p w:rsidR="00437BCA" w:rsidRPr="00437BCA" w:rsidRDefault="00437BCA" w:rsidP="00437BCA">
      <w:pPr>
        <w:ind w:firstLine="708"/>
        <w:jc w:val="center"/>
        <w:rPr>
          <w:sz w:val="32"/>
          <w:szCs w:val="32"/>
        </w:rPr>
      </w:pPr>
      <w:r w:rsidRPr="00437BCA">
        <w:rPr>
          <w:sz w:val="32"/>
          <w:szCs w:val="32"/>
        </w:rPr>
        <w:t>0,4% Malte</w:t>
      </w:r>
    </w:p>
    <w:p w:rsidR="00437BCA" w:rsidRPr="00437BCA" w:rsidRDefault="00437BCA" w:rsidP="00437BCA">
      <w:pPr>
        <w:ind w:firstLine="708"/>
        <w:jc w:val="center"/>
      </w:pPr>
    </w:p>
    <w:sectPr w:rsidR="00437BCA" w:rsidRPr="00437BCA" w:rsidSect="00437BCA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CA"/>
    <w:rsid w:val="00172BDC"/>
    <w:rsid w:val="00305C48"/>
    <w:rsid w:val="00437BCA"/>
    <w:rsid w:val="00D12AE0"/>
    <w:rsid w:val="00F6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4841FC"/>
  <w15:chartTrackingRefBased/>
  <w15:docId w15:val="{53B7823B-FF04-5F43-ADA8-60E27E9F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105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Douat Hélène</dc:creator>
  <cp:keywords/>
  <dc:description/>
  <cp:lastModifiedBy>Douat Hélène</cp:lastModifiedBy>
  <cp:revision>1</cp:revision>
  <dcterms:created xsi:type="dcterms:W3CDTF">2023-01-16T21:55:00Z</dcterms:created>
  <dcterms:modified xsi:type="dcterms:W3CDTF">2023-01-16T22:13:00Z</dcterms:modified>
</cp:coreProperties>
</file>