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BCA" w:rsidRDefault="00437BCA" w:rsidP="00437BCA"/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Dépenses locales en % du PIB en 2021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(</w:t>
      </w:r>
      <w:proofErr w:type="gramStart"/>
      <w:r w:rsidRPr="00437BCA">
        <w:rPr>
          <w:sz w:val="32"/>
          <w:szCs w:val="32"/>
        </w:rPr>
        <w:t>origine</w:t>
      </w:r>
      <w:proofErr w:type="gramEnd"/>
      <w:r w:rsidRPr="00437BCA">
        <w:rPr>
          <w:sz w:val="32"/>
          <w:szCs w:val="32"/>
        </w:rPr>
        <w:t> : EUROSTAT, les collectivités locales en chiffres, 2022, n°9-1)</w:t>
      </w:r>
    </w:p>
    <w:p w:rsidR="00437BCA" w:rsidRPr="00437BCA" w:rsidRDefault="00437BCA" w:rsidP="00437BCA">
      <w:pPr>
        <w:ind w:firstLine="708"/>
        <w:rPr>
          <w:sz w:val="32"/>
          <w:szCs w:val="32"/>
        </w:rPr>
      </w:pPr>
    </w:p>
    <w:p w:rsidR="00437BCA" w:rsidRPr="00437BCA" w:rsidRDefault="00437BCA" w:rsidP="00437BCA">
      <w:pPr>
        <w:ind w:firstLine="708"/>
        <w:rPr>
          <w:sz w:val="32"/>
          <w:szCs w:val="32"/>
        </w:rPr>
      </w:pP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</w:p>
    <w:p w:rsid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Premier groupe de pays au-dessus de la moyenne européenne</w:t>
      </w:r>
    </w:p>
    <w:p w:rsidR="00172BDC" w:rsidRPr="00172BDC" w:rsidRDefault="00172BDC" w:rsidP="00437BCA">
      <w:pPr>
        <w:ind w:firstLine="708"/>
        <w:jc w:val="center"/>
        <w:rPr>
          <w:b/>
          <w:bCs/>
          <w:sz w:val="32"/>
          <w:szCs w:val="32"/>
        </w:rPr>
      </w:pPr>
      <w:r w:rsidRPr="00172BDC">
        <w:rPr>
          <w:b/>
          <w:bCs/>
          <w:sz w:val="32"/>
          <w:szCs w:val="32"/>
        </w:rPr>
        <w:t>Composé des 3 États fédérés + Espagne + 3 pays scandinaves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33,6% Danemark</w:t>
      </w: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27,3% Belgique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24,8% Suède</w:t>
      </w: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25,0% Espagne</w:t>
      </w: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24,9% Allemagne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22,7% Finlande</w:t>
      </w: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19,0% Autriche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17,9% Moyenne de l’UE-27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Second groupe de pays au-dessous de la moyenne européenne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15,0% Italie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14,2% Pologne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13,5% Pays-Bas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13,2% Croatie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12,8% République Tchèque</w:t>
      </w:r>
    </w:p>
    <w:p w:rsidR="00437BCA" w:rsidRPr="00437BCA" w:rsidRDefault="00437BCA" w:rsidP="00437BCA">
      <w:pPr>
        <w:ind w:firstLine="708"/>
        <w:jc w:val="center"/>
        <w:rPr>
          <w:b/>
          <w:bCs/>
          <w:sz w:val="32"/>
          <w:szCs w:val="32"/>
        </w:rPr>
      </w:pPr>
      <w:r w:rsidRPr="00437BCA">
        <w:rPr>
          <w:b/>
          <w:bCs/>
          <w:sz w:val="32"/>
          <w:szCs w:val="32"/>
        </w:rPr>
        <w:t>11,2% France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10,8% Lettonie</w:t>
      </w:r>
    </w:p>
    <w:p w:rsidR="00437BCA" w:rsidRPr="00437BCA" w:rsidRDefault="00437BCA" w:rsidP="00437BCA">
      <w:pPr>
        <w:pBdr>
          <w:bottom w:val="single" w:sz="6" w:space="1" w:color="auto"/>
        </w:pBd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10,3% Estonie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9,3% Lituanie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8,9% Roumanie, Slovénie &amp; Bulgarie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7,9% Slovaquie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6,9% Portugal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4,6% Luxembourg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3,9% Grèce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2,2% Irlande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1,5% Chypre</w:t>
      </w:r>
    </w:p>
    <w:p w:rsidR="00437BCA" w:rsidRPr="00437BCA" w:rsidRDefault="00437BCA" w:rsidP="00437BCA">
      <w:pPr>
        <w:ind w:firstLine="708"/>
        <w:jc w:val="center"/>
        <w:rPr>
          <w:sz w:val="32"/>
          <w:szCs w:val="32"/>
        </w:rPr>
      </w:pPr>
      <w:r w:rsidRPr="00437BCA">
        <w:rPr>
          <w:sz w:val="32"/>
          <w:szCs w:val="32"/>
        </w:rPr>
        <w:t>0,4% Malte</w:t>
      </w:r>
    </w:p>
    <w:p w:rsidR="00437BCA" w:rsidRPr="00437BCA" w:rsidRDefault="00437BCA" w:rsidP="00437BCA">
      <w:pPr>
        <w:ind w:firstLine="708"/>
        <w:jc w:val="center"/>
      </w:pPr>
    </w:p>
    <w:sectPr w:rsidR="00437BCA" w:rsidRPr="00437BCA" w:rsidSect="00437BC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CA"/>
    <w:rsid w:val="00172BDC"/>
    <w:rsid w:val="00305C48"/>
    <w:rsid w:val="00437BCA"/>
    <w:rsid w:val="00D12AE0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841FC"/>
  <w15:chartTrackingRefBased/>
  <w15:docId w15:val="{53B7823B-FF04-5F43-ADA8-60E27E9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2023-01-16T21:55:00Z</dcterms:created>
  <dcterms:modified xsi:type="dcterms:W3CDTF">2023-01-16T22:13:00Z</dcterms:modified>
</cp:coreProperties>
</file>