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9954" w14:textId="5D38467E" w:rsidR="00585C8E" w:rsidRDefault="00585C8E" w:rsidP="00585C8E">
      <w:pPr>
        <w:pStyle w:val="Titre1"/>
      </w:pPr>
      <w:r>
        <w:t xml:space="preserve">Group </w:t>
      </w:r>
      <w:r w:rsidR="009E13D4">
        <w:t>8</w:t>
      </w:r>
      <w:r>
        <w:t xml:space="preserve"> – </w:t>
      </w:r>
      <w:r w:rsidR="009E13D4">
        <w:t>PAI</w:t>
      </w:r>
      <w:r>
        <w:t>’s Moonshot</w:t>
      </w:r>
      <w:r w:rsidR="00550EDA">
        <w:t xml:space="preserve"> </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580555" w14:paraId="76EB51DE" w14:textId="77777777" w:rsidTr="00580555">
        <w:tc>
          <w:tcPr>
            <w:tcW w:w="9062" w:type="dxa"/>
            <w:shd w:val="clear" w:color="auto" w:fill="F2F2F2" w:themeFill="background1" w:themeFillShade="F2"/>
          </w:tcPr>
          <w:p w14:paraId="3CB0A6C3" w14:textId="77777777" w:rsidR="00580555" w:rsidRDefault="00580555" w:rsidP="00580555">
            <w:pPr>
              <w:ind w:right="707"/>
              <w:rPr>
                <w:i/>
                <w:noProof/>
              </w:rPr>
            </w:pPr>
            <w:r>
              <w:rPr>
                <w:i/>
                <w:noProof/>
              </w:rPr>
              <w:t>Assignment:</w:t>
            </w:r>
          </w:p>
          <w:p w14:paraId="5FFA5D15" w14:textId="4AED6ECF" w:rsidR="00580555" w:rsidRDefault="00580555" w:rsidP="003D26D8">
            <w:pPr>
              <w:numPr>
                <w:ilvl w:val="0"/>
                <w:numId w:val="1"/>
              </w:numPr>
              <w:ind w:right="707"/>
              <w:rPr>
                <w:i/>
                <w:noProof/>
              </w:rPr>
            </w:pPr>
            <w:r>
              <w:rPr>
                <w:i/>
                <w:noProof/>
              </w:rPr>
              <w:t>A</w:t>
            </w:r>
            <w:r w:rsidRPr="000860B2">
              <w:rPr>
                <w:i/>
                <w:noProof/>
              </w:rPr>
              <w:t>n</w:t>
            </w:r>
            <w:r w:rsidR="008B24B0">
              <w:rPr>
                <w:i/>
                <w:noProof/>
              </w:rPr>
              <w:t>s</w:t>
            </w:r>
            <w:r w:rsidRPr="000860B2">
              <w:rPr>
                <w:i/>
                <w:noProof/>
              </w:rPr>
              <w:t>wer the following question</w:t>
            </w:r>
            <w:r>
              <w:rPr>
                <w:i/>
                <w:noProof/>
              </w:rPr>
              <w:t>s :</w:t>
            </w:r>
          </w:p>
          <w:p w14:paraId="7FAC861B" w14:textId="23407428" w:rsidR="003D26D8" w:rsidRDefault="003D26D8" w:rsidP="003D26D8">
            <w:pPr>
              <w:numPr>
                <w:ilvl w:val="1"/>
                <w:numId w:val="1"/>
              </w:numPr>
              <w:ind w:right="707"/>
              <w:jc w:val="both"/>
              <w:rPr>
                <w:i/>
                <w:noProof/>
              </w:rPr>
            </w:pPr>
            <w:r>
              <w:rPr>
                <w:i/>
                <w:noProof/>
              </w:rPr>
              <w:t xml:space="preserve">Slide </w:t>
            </w:r>
            <w:r w:rsidR="00EC25F7">
              <w:rPr>
                <w:i/>
                <w:noProof/>
              </w:rPr>
              <w:t>1</w:t>
            </w:r>
            <w:r>
              <w:rPr>
                <w:i/>
                <w:noProof/>
              </w:rPr>
              <w:t xml:space="preserve">: Is “PAI moonshot” a moonshot? </w:t>
            </w:r>
          </w:p>
          <w:p w14:paraId="18A1C4A7" w14:textId="0BE3BE74" w:rsidR="003D26D8" w:rsidRDefault="003D26D8" w:rsidP="003D26D8">
            <w:pPr>
              <w:numPr>
                <w:ilvl w:val="1"/>
                <w:numId w:val="1"/>
              </w:numPr>
              <w:ind w:right="707"/>
              <w:jc w:val="both"/>
              <w:rPr>
                <w:i/>
                <w:noProof/>
              </w:rPr>
            </w:pPr>
            <w:r>
              <w:rPr>
                <w:i/>
                <w:noProof/>
              </w:rPr>
              <w:t xml:space="preserve">Slide </w:t>
            </w:r>
            <w:r w:rsidR="00EC25F7">
              <w:rPr>
                <w:i/>
                <w:noProof/>
              </w:rPr>
              <w:t>2</w:t>
            </w:r>
            <w:r>
              <w:rPr>
                <w:i/>
                <w:noProof/>
              </w:rPr>
              <w:t xml:space="preserve">: Why </w:t>
            </w:r>
            <w:r>
              <w:rPr>
                <w:i/>
                <w:noProof/>
              </w:rPr>
              <w:t xml:space="preserve">are the tech companies doing the </w:t>
            </w:r>
            <w:r>
              <w:rPr>
                <w:i/>
                <w:noProof/>
              </w:rPr>
              <w:t>PAI moonshot</w:t>
            </w:r>
            <w:r>
              <w:rPr>
                <w:i/>
                <w:noProof/>
              </w:rPr>
              <w:t xml:space="preserve">? </w:t>
            </w:r>
            <w:r>
              <w:rPr>
                <w:i/>
                <w:noProof/>
              </w:rPr>
              <w:t xml:space="preserve">Why is it counter-intuitive? </w:t>
            </w:r>
          </w:p>
          <w:p w14:paraId="1102047A" w14:textId="2A59EAA3" w:rsidR="003D26D8" w:rsidRDefault="003D26D8" w:rsidP="003D26D8">
            <w:pPr>
              <w:numPr>
                <w:ilvl w:val="1"/>
                <w:numId w:val="1"/>
              </w:numPr>
              <w:ind w:right="707"/>
              <w:jc w:val="both"/>
              <w:rPr>
                <w:i/>
                <w:noProof/>
              </w:rPr>
            </w:pPr>
            <w:r>
              <w:rPr>
                <w:i/>
                <w:noProof/>
              </w:rPr>
              <w:t xml:space="preserve">Slide </w:t>
            </w:r>
            <w:r w:rsidR="00EC25F7">
              <w:rPr>
                <w:i/>
                <w:noProof/>
              </w:rPr>
              <w:t>3</w:t>
            </w:r>
            <w:r>
              <w:rPr>
                <w:i/>
                <w:noProof/>
              </w:rPr>
              <w:t xml:space="preserve">: What are the Open Innovation practices? </w:t>
            </w:r>
          </w:p>
          <w:p w14:paraId="15726C94" w14:textId="77777777" w:rsidR="003D26D8" w:rsidRDefault="003D26D8" w:rsidP="003D26D8">
            <w:pPr>
              <w:ind w:left="720" w:right="707"/>
              <w:jc w:val="both"/>
              <w:rPr>
                <w:i/>
                <w:noProof/>
              </w:rPr>
            </w:pPr>
          </w:p>
          <w:p w14:paraId="61BC1C57" w14:textId="77777777" w:rsidR="003D26D8" w:rsidRDefault="003D26D8" w:rsidP="003D26D8">
            <w:pPr>
              <w:ind w:left="720" w:right="707"/>
              <w:jc w:val="both"/>
              <w:rPr>
                <w:i/>
                <w:noProof/>
              </w:rPr>
            </w:pPr>
            <w:r>
              <w:rPr>
                <w:i/>
                <w:noProof/>
              </w:rPr>
              <w:t>Remark : use the articles to construct the answer but you can also develop answer we ideas that are not in the articles</w:t>
            </w:r>
          </w:p>
          <w:p w14:paraId="089826C0" w14:textId="77777777" w:rsidR="003D26D8" w:rsidRDefault="003D26D8" w:rsidP="003D26D8">
            <w:pPr>
              <w:ind w:right="707"/>
              <w:jc w:val="both"/>
              <w:rPr>
                <w:i/>
                <w:noProof/>
              </w:rPr>
            </w:pPr>
          </w:p>
          <w:p w14:paraId="352C1340" w14:textId="501351DD" w:rsidR="00580555" w:rsidRPr="00580555" w:rsidRDefault="003D26D8" w:rsidP="003D26D8">
            <w:pPr>
              <w:numPr>
                <w:ilvl w:val="0"/>
                <w:numId w:val="1"/>
              </w:numPr>
              <w:ind w:right="707"/>
              <w:rPr>
                <w:i/>
                <w:noProof/>
              </w:rPr>
            </w:pPr>
            <w:r>
              <w:rPr>
                <w:i/>
                <w:noProof/>
              </w:rPr>
              <w:t xml:space="preserve">Each group has to present their answers in 15 minutes max </w:t>
            </w:r>
          </w:p>
        </w:tc>
      </w:tr>
    </w:tbl>
    <w:p w14:paraId="67BC0D2D" w14:textId="77777777" w:rsidR="002B0CD4" w:rsidRDefault="002B0CD4" w:rsidP="00585C8E">
      <w:pPr>
        <w:pStyle w:val="Titre1"/>
      </w:pPr>
    </w:p>
    <w:p w14:paraId="4509713A" w14:textId="120B3582" w:rsidR="00970374" w:rsidRDefault="00080400" w:rsidP="00FE57CB">
      <w:pPr>
        <w:pStyle w:val="Titre2"/>
        <w:pBdr>
          <w:top w:val="single" w:sz="4" w:space="1" w:color="auto"/>
          <w:left w:val="single" w:sz="4" w:space="4" w:color="auto"/>
          <w:bottom w:val="single" w:sz="4" w:space="1" w:color="auto"/>
          <w:right w:val="single" w:sz="4" w:space="4" w:color="auto"/>
        </w:pBdr>
      </w:pPr>
      <w:proofErr w:type="spellStart"/>
      <w:r w:rsidRPr="00FE57CB">
        <w:rPr>
          <w:rStyle w:val="fs-author-name"/>
        </w:rPr>
        <w:t>Falon</w:t>
      </w:r>
      <w:proofErr w:type="spellEnd"/>
      <w:r w:rsidRPr="00FE57CB">
        <w:rPr>
          <w:rStyle w:val="fs-author-name"/>
        </w:rPr>
        <w:t xml:space="preserve"> Fatemi</w:t>
      </w:r>
      <w:r>
        <w:rPr>
          <w:rStyle w:val="fs-author-name"/>
        </w:rPr>
        <w:t xml:space="preserve"> (2020) “</w:t>
      </w:r>
      <w:r w:rsidR="00970374">
        <w:t xml:space="preserve">How Companies Should Answer </w:t>
      </w:r>
      <w:proofErr w:type="gramStart"/>
      <w:r w:rsidR="00970374">
        <w:t>The</w:t>
      </w:r>
      <w:proofErr w:type="gramEnd"/>
      <w:r w:rsidR="00970374">
        <w:t xml:space="preserve"> Call For Responsible AI</w:t>
      </w:r>
      <w:r>
        <w:t>” &lt;</w:t>
      </w:r>
      <w:r w:rsidRPr="00080400">
        <w:t xml:space="preserve"> https://www.forbes.com/sites/falonfatemi/2020/02/28/how-companies-should-answer-the-call-for-responsible-ai/?sh=1fc1a48d13f5</w:t>
      </w:r>
      <w:r>
        <w:t>&gt;</w:t>
      </w:r>
    </w:p>
    <w:p w14:paraId="3A134E2C" w14:textId="77777777" w:rsidR="00FE57CB" w:rsidRDefault="00FE57CB" w:rsidP="00FE54A5">
      <w:r>
        <w:t>There’s widespread consensus that we’re in the throes of the fourth industrial revolution Artificial intelligence and its sister technologies is transforming virtually every business. Yet with AI’s enormous potential comes great responsibility. The majority (</w:t>
      </w:r>
      <w:hyperlink r:id="rId10" w:tgtFrame="_blank" w:tooltip="https://knowledge.wharton.upenn.edu/article/want-responsible-ai-think-business-outcomes/" w:history="1">
        <w:r>
          <w:rPr>
            <w:rStyle w:val="Lienhypertexte"/>
          </w:rPr>
          <w:t>77%</w:t>
        </w:r>
      </w:hyperlink>
      <w:r>
        <w:t>) of CEOs say that AI threatens to increase vulnerability and disruption to the ways they do business. Unfortunately, the call for responsible AI has taken a backseat for many companies. Only 25% of companies say that they definitely prioritize considering the ethical implications of an AI solution before investing in it, according to</w:t>
      </w:r>
      <w:hyperlink r:id="rId11" w:tgtFrame="_blank" w:tooltip="https://www.pwc.com/gx/en/issues/data-and-analytics/artificial-intelligence/what-is-responsible-ai/responsible-ai-practical-guide.pdf" w:history="1">
        <w:r>
          <w:rPr>
            <w:rStyle w:val="Lienhypertexte"/>
          </w:rPr>
          <w:t xml:space="preserve"> research</w:t>
        </w:r>
      </w:hyperlink>
      <w:r>
        <w:t xml:space="preserve"> by PwC. </w:t>
      </w:r>
    </w:p>
    <w:p w14:paraId="11AAC055" w14:textId="77777777" w:rsidR="00FE57CB" w:rsidRDefault="00FE57CB" w:rsidP="00FE54A5">
      <w:r>
        <w:t xml:space="preserve">In 2016, Amazon, Facebook, Google, DeepMind, Microsoft, and IBM came together to </w:t>
      </w:r>
      <w:proofErr w:type="gramStart"/>
      <w:r>
        <w:t>found</w:t>
      </w:r>
      <w:proofErr w:type="gramEnd"/>
      <w:r>
        <w:t xml:space="preserve"> the Partnership on Artificial Intelligence to Benefit People and Society (Partnership on AI). Since it was founded, the nonprofit coalition has amassed more than 100 partners, including members from industry, academia, and civil society. The partnership marks an important shift towards prioritizing responsible AI. But it’s merely a small step in the right direction. </w:t>
      </w:r>
    </w:p>
    <w:p w14:paraId="5EA14841" w14:textId="77777777" w:rsidR="00FE57CB" w:rsidRDefault="00FE57CB" w:rsidP="00FE54A5">
      <w:r>
        <w:t xml:space="preserve">Here are three important steps that companies need to embrace </w:t>
      </w:r>
      <w:proofErr w:type="gramStart"/>
      <w:r>
        <w:t>in order to</w:t>
      </w:r>
      <w:proofErr w:type="gramEnd"/>
      <w:r>
        <w:t xml:space="preserve"> progress towards responsible AI. </w:t>
      </w:r>
    </w:p>
    <w:p w14:paraId="61F6C42F" w14:textId="7499A682" w:rsidR="00970374" w:rsidRDefault="008323E6" w:rsidP="00FE54A5">
      <w:r>
        <w:rPr>
          <w:rStyle w:val="lev"/>
        </w:rPr>
        <w:t xml:space="preserve">1. Prioritize </w:t>
      </w:r>
      <w:proofErr w:type="spellStart"/>
      <w:r>
        <w:rPr>
          <w:rStyle w:val="lev"/>
        </w:rPr>
        <w:t>explainability</w:t>
      </w:r>
      <w:proofErr w:type="spellEnd"/>
      <w:r>
        <w:rPr>
          <w:rStyle w:val="lev"/>
        </w:rPr>
        <w:t xml:space="preserve"> and interpretability  </w:t>
      </w:r>
    </w:p>
    <w:p w14:paraId="078608BE" w14:textId="77777777" w:rsidR="008323E6" w:rsidRDefault="008323E6" w:rsidP="00FE54A5">
      <w:r>
        <w:t xml:space="preserve">An important prerequisite for responsible AI is </w:t>
      </w:r>
      <w:proofErr w:type="spellStart"/>
      <w:r>
        <w:t>explainability</w:t>
      </w:r>
      <w:proofErr w:type="spellEnd"/>
      <w:r>
        <w:t xml:space="preserve"> and interpretability. According to PwC’s research, 84% of CEOs agree that AI-based decisions need to be explainable </w:t>
      </w:r>
      <w:proofErr w:type="gramStart"/>
      <w:r>
        <w:t>in order to</w:t>
      </w:r>
      <w:proofErr w:type="gramEnd"/>
      <w:r>
        <w:t xml:space="preserve"> be trusted. The proverbial “black box” of AI needs to be opened. Black box models should be supplanted with models that are interpretable. As PwC warns, a lack of interpretability can “expose an organization to operational, reputational, and financial risks. To instill trust in AI systems, people must be enabled to look “under the hood” at their underlying models, explore the data used to train them, expose the reasoning behind each decision, and provide coherent explanations to all stakeholders in a timely manner.” As IBM’s AI ethics policy</w:t>
      </w:r>
      <w:hyperlink r:id="rId12" w:tgtFrame="_blank" w:tooltip="https://www.ibm.com/watson/assets/duo/pdf/everydayethics.pdf" w:history="1">
        <w:r>
          <w:rPr>
            <w:rStyle w:val="Lienhypertexte"/>
          </w:rPr>
          <w:t xml:space="preserve"> states</w:t>
        </w:r>
      </w:hyperlink>
      <w:r>
        <w:t>, “Allow for questions. A user should be able to ask why an AI is doing what it’s doing on an ongoing basis. This should be clear and up front in the user interface at all times.”</w:t>
      </w:r>
    </w:p>
    <w:p w14:paraId="3C0A14F3" w14:textId="77777777" w:rsidR="008323E6" w:rsidRDefault="008323E6" w:rsidP="00FE54A5">
      <w:proofErr w:type="spellStart"/>
      <w:r>
        <w:lastRenderedPageBreak/>
        <w:t>Explainability</w:t>
      </w:r>
      <w:proofErr w:type="spellEnd"/>
      <w:r>
        <w:t xml:space="preserve"> goes hand in hand with documentation throughout the entire AI lifecycle, from model design to implementation and use. Design and decision-making processes should be documented. Additionally, it should be clear when and why AI systems make mistakes. AI is inevitably going to fail. By making all aspects of AI development transparent, we can empower humans’ judgment to kick in and avoid many negative fallouts. </w:t>
      </w:r>
    </w:p>
    <w:p w14:paraId="4D1D5780" w14:textId="77777777" w:rsidR="008323E6" w:rsidRDefault="008323E6" w:rsidP="00FE54A5">
      <w:r>
        <w:rPr>
          <w:rStyle w:val="lev"/>
        </w:rPr>
        <w:t>2. Make responsibility concrete and pervasive</w:t>
      </w:r>
    </w:p>
    <w:p w14:paraId="79B2AA87" w14:textId="77777777" w:rsidR="008323E6" w:rsidRDefault="008323E6" w:rsidP="00FE54A5">
      <w:r>
        <w:t>It’s easy to pay lip service to the importance of responsible AI. This tendency is so pervasive that we now have a dedicated term to encompass the practice</w:t>
      </w:r>
      <w:proofErr w:type="gramStart"/>
      <w:r>
        <w:t>—“</w:t>
      </w:r>
      <w:proofErr w:type="gramEnd"/>
      <w:r>
        <w:t>ethics washing”, also known as “ethics theater”. Ethics washing involves falsifying or exaggerating a company’s promotion of “AI for good” initiatives. As a recent</w:t>
      </w:r>
      <w:hyperlink r:id="rId13" w:tgtFrame="_blank" w:tooltip="https://ainowinstitute.org/AI_Now_2018_Report.pdf" w:history="1">
        <w:r>
          <w:rPr>
            <w:rStyle w:val="Lienhypertexte"/>
          </w:rPr>
          <w:t xml:space="preserve"> report</w:t>
        </w:r>
      </w:hyperlink>
      <w:r>
        <w:t xml:space="preserve"> from research institute AI Now highlights, “While we have seen a rush to adopt such codes, in many instances offered as a means to address the growing controversy surrounding the design and implementation of AI systems, we have not seen strong oversight and accountability to backstop these ethical commitments.” </w:t>
      </w:r>
    </w:p>
    <w:p w14:paraId="5DD9B744" w14:textId="77777777" w:rsidR="002B0CD4" w:rsidRDefault="002B0CD4" w:rsidP="00FE54A5">
      <w:r>
        <w:t>While corporate governance bodies are becoming increasingly common, the public is, oftentimes, afforded little insight into the operations and, especially, the interventions enacted by these governance bodies. We don’t know how they are holding themselves accountable. It’s not enough to simply set up an advisory committee. Companies need to be clear on how they are evaluating and debating ethical issues, embrace a more open and encompassing discussion related to these issues, and communicate revelations and insights to the broader community.   </w:t>
      </w:r>
    </w:p>
    <w:p w14:paraId="04589847" w14:textId="77777777" w:rsidR="002B0CD4" w:rsidRDefault="002B0CD4" w:rsidP="00FE54A5">
      <w:r>
        <w:t>The companies that truly place responsible AI on a pedestal will make responsible AI an organization-wide imperative. The Wharton School of the University of Pennsylvania has</w:t>
      </w:r>
      <w:hyperlink r:id="rId14" w:tgtFrame="_blank" w:tooltip="https://knowledge.wharton.upenn.edu/article/want-responsible-ai-think-business-outcomes/" w:history="1">
        <w:r>
          <w:rPr>
            <w:rStyle w:val="Lienhypertexte"/>
          </w:rPr>
          <w:t xml:space="preserve"> emphasized</w:t>
        </w:r>
      </w:hyperlink>
      <w:r>
        <w:t xml:space="preserve"> that responsible AI requires engagement from the entire C-Suite. Ideally, AI engagement goes deeper and pervade an entire organization. Kush Saxena, Chief Technology Officer at Mastercard for example, has called for mandatory ethics training for all AI programmers. Only with organization-wide accountability can we truly move the needle towards responsible AI. </w:t>
      </w:r>
    </w:p>
    <w:p w14:paraId="55D696D6" w14:textId="77777777" w:rsidR="002B0CD4" w:rsidRDefault="002B0CD4" w:rsidP="00FE54A5">
      <w:r>
        <w:rPr>
          <w:rStyle w:val="lev"/>
        </w:rPr>
        <w:t>3. Minimizing bias</w:t>
      </w:r>
    </w:p>
    <w:p w14:paraId="24656EAE" w14:textId="77777777" w:rsidR="002B0CD4" w:rsidRDefault="002B0CD4" w:rsidP="00FE54A5">
      <w:r>
        <w:t>Bias pervades AI tools. Take, for example, software to predict future criminals that is</w:t>
      </w:r>
      <w:hyperlink r:id="rId15" w:tgtFrame="_blank" w:tooltip="https://www.propublica.org/article/machine-bias-risk-assessments-in-criminal-sentencing" w:history="1">
        <w:r>
          <w:rPr>
            <w:rStyle w:val="Lienhypertexte"/>
          </w:rPr>
          <w:t xml:space="preserve"> biased against blacks</w:t>
        </w:r>
      </w:hyperlink>
      <w:r>
        <w:t xml:space="preserve"> or a recruiting tool used by Amazon riddled with</w:t>
      </w:r>
      <w:hyperlink r:id="rId16" w:tgtFrame="_blank" w:tooltip="https://www.reuters.com/article/us-amazon-com-jobs-automation-insight/amazon-scraps-secret-ai-recruiting-tool-that-showed-bias-against-women-idUSKCN1MK08G" w:history="1">
        <w:r>
          <w:rPr>
            <w:rStyle w:val="Lienhypertexte"/>
          </w:rPr>
          <w:t xml:space="preserve"> bias against women</w:t>
        </w:r>
      </w:hyperlink>
      <w:r>
        <w:t>. Companies must commit to mitigating bias. This mitigation shouldn’t be an afterthought—it should guide AI development. Before developing algorithms, AI designers and developers should come together to discuss and identify potential biases in data, identify the potential ramifications of these biases, and then proactively take steps to minimize them. </w:t>
      </w:r>
    </w:p>
    <w:p w14:paraId="6253C201" w14:textId="77777777" w:rsidR="002B0CD4" w:rsidRDefault="002B0CD4" w:rsidP="00FE54A5">
      <w:r>
        <w:t xml:space="preserve">Minimizing bias also involves constructive dissent, a phrase embraced by </w:t>
      </w:r>
      <w:proofErr w:type="spellStart"/>
      <w:r>
        <w:t>Rumman</w:t>
      </w:r>
      <w:proofErr w:type="spellEnd"/>
      <w:r>
        <w:t xml:space="preserve"> Chowdhury, the Responsible AI lead for Accenture. Chowdhury has</w:t>
      </w:r>
      <w:hyperlink r:id="rId17" w:tgtFrame="_blank" w:tooltip="https://venturebeat.com/2019/07/17/how-ai-companies-can-avoid-ethics-washing/" w:history="1">
        <w:r>
          <w:rPr>
            <w:rStyle w:val="Lienhypertexte"/>
          </w:rPr>
          <w:t xml:space="preserve"> explained</w:t>
        </w:r>
      </w:hyperlink>
      <w:r>
        <w:t>, “Successful governance of AI systems need to allow ‘constructive dissent’ — that is, a culture where individuals, from the bottom up, are empowered to speak and protected if they do so. It is self-defeating to create rules of ethical use without the institutional incentives and protections for workers engaged in these projects to speak up.” If people feel empowered with high levels of psychological safety to voice concerns, this will fuel more productive conversations pertaining to responsible AI and, especially, mitigating bias. </w:t>
      </w:r>
    </w:p>
    <w:p w14:paraId="4246946D" w14:textId="77777777" w:rsidR="002B0CD4" w:rsidRDefault="002B0CD4" w:rsidP="00FE54A5">
      <w:r>
        <w:t>Finally, minimizing bias requires diversity. A</w:t>
      </w:r>
      <w:hyperlink r:id="rId18" w:tgtFrame="_blank" w:tooltip="https://ainowinstitute.org/discriminatingsystems.pdf" w:history="1">
        <w:r>
          <w:rPr>
            <w:rStyle w:val="Lienhypertexte"/>
          </w:rPr>
          <w:t xml:space="preserve"> recent report</w:t>
        </w:r>
      </w:hyperlink>
      <w:r>
        <w:t xml:space="preserve"> from the AI Now Institute revealed that 80% of AI professors, 85% of AI research staff at Facebook, and 90% of AI employees at Google are male. Racial diversity among AI researchers and industry leaders is minimal. Only by bringing diverse </w:t>
      </w:r>
      <w:r>
        <w:lastRenderedPageBreak/>
        <w:t>perspectives and backgrounds to the table will we be able to mitigate bias and build responsible AI tools. </w:t>
      </w:r>
    </w:p>
    <w:p w14:paraId="28B9014D" w14:textId="77777777" w:rsidR="002B0CD4" w:rsidRDefault="002B0CD4" w:rsidP="00FE54A5">
      <w:r>
        <w:t xml:space="preserve">Elon Musk has dubbed AI </w:t>
      </w:r>
      <w:hyperlink r:id="rId19" w:tgtFrame="_blank" w:tooltip="https://www.cnbc.com/2018/03/13/elon-musk-at-sxsw-a-i-is-more-dangerous-than-nuclear-weapons.html" w:history="1">
        <w:r>
          <w:rPr>
            <w:rStyle w:val="Lienhypertexte"/>
          </w:rPr>
          <w:t>more dangerous than nuclear weapons</w:t>
        </w:r>
      </w:hyperlink>
      <w:r>
        <w:t>. Safiya Umoja Noble, an associate professor at UCLA, has</w:t>
      </w:r>
      <w:hyperlink r:id="rId20" w:tgtFrame="_blank" w:tooltip="https://safiyaunoble.com/role-artificial-intelligence-society-next-human-rights-issue-21st-century/?utm_source=VentureBeat&amp;utm_campaign=16d608696c-AIWeekly&amp;utm_medium=email&amp;utm_term=0_89d8059242-16d608696c-4659801" w:history="1">
        <w:r>
          <w:rPr>
            <w:rStyle w:val="Lienhypertexte"/>
          </w:rPr>
          <w:t xml:space="preserve"> called</w:t>
        </w:r>
      </w:hyperlink>
      <w:r>
        <w:t xml:space="preserve"> AI one of the major human rights issues of the 21st century. The discussion of AI should be at the forefront of our public and corporate discourse. By prioritizing </w:t>
      </w:r>
      <w:proofErr w:type="spellStart"/>
      <w:r>
        <w:t>explainability</w:t>
      </w:r>
      <w:proofErr w:type="spellEnd"/>
      <w:r>
        <w:t xml:space="preserve"> and interpretability, making responsibility concrete and pervasive, and minimizing bias, we can ensure that the potentially disastrous and fatal implications of AI don’t overshadow the benefits and promises. </w:t>
      </w:r>
    </w:p>
    <w:p w14:paraId="4F2D56B8" w14:textId="564F86AA" w:rsidR="00482FD1" w:rsidRPr="00FE57CB" w:rsidRDefault="000E74C1" w:rsidP="00FE57CB">
      <w:pPr>
        <w:pStyle w:val="Titre2"/>
        <w:pBdr>
          <w:top w:val="single" w:sz="4" w:space="1" w:color="auto"/>
          <w:left w:val="single" w:sz="4" w:space="4" w:color="auto"/>
          <w:bottom w:val="single" w:sz="4" w:space="1" w:color="auto"/>
          <w:right w:val="single" w:sz="4" w:space="4" w:color="auto"/>
        </w:pBdr>
        <w:rPr>
          <w:rStyle w:val="fs-author-name"/>
        </w:rPr>
      </w:pPr>
      <w:hyperlink r:id="rId21" w:history="1">
        <w:r w:rsidR="00860152" w:rsidRPr="00FE57CB">
          <w:rPr>
            <w:rStyle w:val="fs-author-name"/>
          </w:rPr>
          <w:t>PAI</w:t>
        </w:r>
      </w:hyperlink>
      <w:r w:rsidR="00482FD1" w:rsidRPr="00FE57CB">
        <w:rPr>
          <w:rStyle w:val="fs-author-name"/>
        </w:rPr>
        <w:t xml:space="preserve"> (201</w:t>
      </w:r>
      <w:r w:rsidR="00860152" w:rsidRPr="00FE57CB">
        <w:rPr>
          <w:rStyle w:val="fs-author-name"/>
        </w:rPr>
        <w:t>6</w:t>
      </w:r>
      <w:r w:rsidR="00482FD1" w:rsidRPr="00FE57CB">
        <w:rPr>
          <w:rStyle w:val="fs-author-name"/>
        </w:rPr>
        <w:t>),”</w:t>
      </w:r>
      <w:r w:rsidR="00860152" w:rsidRPr="00FE57CB">
        <w:rPr>
          <w:rStyle w:val="fs-author-name"/>
        </w:rPr>
        <w:t xml:space="preserve"> Industry Leaders Establish Partnership on AI Best </w:t>
      </w:r>
      <w:proofErr w:type="gramStart"/>
      <w:r w:rsidR="00860152" w:rsidRPr="00FE57CB">
        <w:rPr>
          <w:rStyle w:val="fs-author-name"/>
        </w:rPr>
        <w:t>Practices</w:t>
      </w:r>
      <w:r w:rsidR="00482FD1" w:rsidRPr="00FE57CB">
        <w:rPr>
          <w:rStyle w:val="fs-author-name"/>
        </w:rPr>
        <w:t>”&lt;</w:t>
      </w:r>
      <w:proofErr w:type="gramEnd"/>
      <w:r w:rsidR="00482FD1" w:rsidRPr="00FE57CB">
        <w:rPr>
          <w:rStyle w:val="fs-author-name"/>
        </w:rPr>
        <w:t xml:space="preserve"> </w:t>
      </w:r>
      <w:r w:rsidR="00900EC9" w:rsidRPr="00FE57CB">
        <w:rPr>
          <w:rStyle w:val="fs-author-name"/>
        </w:rPr>
        <w:t>https://www.partnershiponai.org/industry-leaders-establish-partnership-on-ai-best-practices/</w:t>
      </w:r>
      <w:r w:rsidR="00482FD1" w:rsidRPr="00FE57CB">
        <w:rPr>
          <w:rStyle w:val="fs-author-name"/>
        </w:rPr>
        <w:t>&gt;</w:t>
      </w:r>
    </w:p>
    <w:p w14:paraId="096FA99F" w14:textId="77777777" w:rsidR="009E13D4" w:rsidRDefault="009E13D4" w:rsidP="009E13D4">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Amazon, DeepMind/Google, Facebook, IBM, and Microsoft today announced that they will</w:t>
      </w:r>
    </w:p>
    <w:p w14:paraId="1BCAFFB9" w14:textId="77777777" w:rsidR="009E13D4" w:rsidRDefault="009E13D4" w:rsidP="009E13D4">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create a non-profit organization that will work to advance public understanding of artificial</w:t>
      </w:r>
    </w:p>
    <w:p w14:paraId="55C11035" w14:textId="77777777" w:rsidR="009E13D4" w:rsidRDefault="009E13D4" w:rsidP="009E13D4">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intelligence technologies (AI) and formulate best practices on the challenges and</w:t>
      </w:r>
    </w:p>
    <w:p w14:paraId="6A979D57" w14:textId="77777777" w:rsidR="009E13D4" w:rsidRDefault="009E13D4" w:rsidP="009E13D4">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opportunities within the field. Academics, non-profits, and specialists in policy and ethics</w:t>
      </w:r>
    </w:p>
    <w:p w14:paraId="557BF583" w14:textId="77777777" w:rsidR="009E13D4" w:rsidRDefault="009E13D4" w:rsidP="009E13D4">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will be invited to join the Board of the organization, named the Partnership on Artificial</w:t>
      </w:r>
    </w:p>
    <w:p w14:paraId="0A4673F4" w14:textId="4F781716" w:rsidR="00482FD1" w:rsidRDefault="009E13D4" w:rsidP="009E13D4">
      <w:pPr>
        <w:spacing w:after="0" w:line="240" w:lineRule="auto"/>
        <w:rPr>
          <w:rFonts w:ascii="AvenirNext-Medium" w:hAnsi="AvenirNext-Medium" w:cs="AvenirNext-Medium"/>
          <w:sz w:val="24"/>
          <w:szCs w:val="24"/>
        </w:rPr>
      </w:pPr>
      <w:r>
        <w:rPr>
          <w:rFonts w:ascii="AvenirNext-Medium" w:hAnsi="AvenirNext-Medium" w:cs="AvenirNext-Medium"/>
          <w:sz w:val="24"/>
          <w:szCs w:val="24"/>
        </w:rPr>
        <w:t>Intelligence to Benefit People and Society (Partnership on AI).</w:t>
      </w:r>
    </w:p>
    <w:p w14:paraId="0FAFF9FB"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The objective of the Partnership on AI is to address opportunities and challenges with AI</w:t>
      </w:r>
    </w:p>
    <w:p w14:paraId="6D15D4A4"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technologies to benefit people and society. Together, the organization’s members will</w:t>
      </w:r>
    </w:p>
    <w:p w14:paraId="798B9C33"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conduct research, recommend best practices, and publish research under an open license</w:t>
      </w:r>
    </w:p>
    <w:p w14:paraId="7BF43DD8"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 xml:space="preserve">in areas such as ethics, fairness, and inclusivity; transparency, privacy, and </w:t>
      </w:r>
      <w:proofErr w:type="gramStart"/>
      <w:r>
        <w:rPr>
          <w:rFonts w:ascii="AvenirNext-Medium" w:hAnsi="AvenirNext-Medium" w:cs="AvenirNext-Medium"/>
          <w:sz w:val="24"/>
          <w:szCs w:val="24"/>
        </w:rPr>
        <w:t>interoperability;</w:t>
      </w:r>
      <w:proofErr w:type="gramEnd"/>
    </w:p>
    <w:p w14:paraId="63F58845"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collaboration between people and AI systems; and the trustworthiness, reliability, and</w:t>
      </w:r>
    </w:p>
    <w:p w14:paraId="5D79A232"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robustness of the technology. It does not intend to lobby government or other</w:t>
      </w:r>
    </w:p>
    <w:p w14:paraId="1E503DEB"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policymaking bodies.</w:t>
      </w:r>
    </w:p>
    <w:p w14:paraId="07642D7A"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The organization’s founding members will each contribute financial and research resources</w:t>
      </w:r>
    </w:p>
    <w:p w14:paraId="29315147"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 xml:space="preserve">to the partnership and will share leadership with independent </w:t>
      </w:r>
      <w:proofErr w:type="gramStart"/>
      <w:r>
        <w:rPr>
          <w:rFonts w:ascii="AvenirNext-Medium" w:hAnsi="AvenirNext-Medium" w:cs="AvenirNext-Medium"/>
          <w:sz w:val="24"/>
          <w:szCs w:val="24"/>
        </w:rPr>
        <w:t>third-parties</w:t>
      </w:r>
      <w:proofErr w:type="gramEnd"/>
      <w:r>
        <w:rPr>
          <w:rFonts w:ascii="AvenirNext-Medium" w:hAnsi="AvenirNext-Medium" w:cs="AvenirNext-Medium"/>
          <w:sz w:val="24"/>
          <w:szCs w:val="24"/>
        </w:rPr>
        <w:t>, including</w:t>
      </w:r>
    </w:p>
    <w:p w14:paraId="6407CDDC"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academics, user group advocates, and industry domain experts. There will be equal</w:t>
      </w:r>
    </w:p>
    <w:p w14:paraId="1A714C30"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representation of corporate and non-corporate members on the board of this new</w:t>
      </w:r>
    </w:p>
    <w:p w14:paraId="07848A0F"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organization. The Partnership is in discussions with professional and scientific</w:t>
      </w:r>
    </w:p>
    <w:p w14:paraId="02B112E8"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organizations, such as the Association for the Advancement of Artificial Intelligence (AAAI),</w:t>
      </w:r>
    </w:p>
    <w:p w14:paraId="5E2EFD43"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as well as non-profit research groups including the Allen Institute for Artificial Intelligence</w:t>
      </w:r>
    </w:p>
    <w:p w14:paraId="4BB6C8E9"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(AI2</w:t>
      </w:r>
      <w:proofErr w:type="gramStart"/>
      <w:r>
        <w:rPr>
          <w:rFonts w:ascii="AvenirNext-Medium" w:hAnsi="AvenirNext-Medium" w:cs="AvenirNext-Medium"/>
          <w:sz w:val="24"/>
          <w:szCs w:val="24"/>
        </w:rPr>
        <w:t>), and</w:t>
      </w:r>
      <w:proofErr w:type="gramEnd"/>
      <w:r>
        <w:rPr>
          <w:rFonts w:ascii="AvenirNext-Medium" w:hAnsi="AvenirNext-Medium" w:cs="AvenirNext-Medium"/>
          <w:sz w:val="24"/>
          <w:szCs w:val="24"/>
        </w:rPr>
        <w:t xml:space="preserve"> anticipates announcements regarding additional participants in the near future.</w:t>
      </w:r>
    </w:p>
    <w:p w14:paraId="3E466DC2"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AI technologies hold tremendous potential to improve many aspects of life, ranging from</w:t>
      </w:r>
    </w:p>
    <w:p w14:paraId="2EED8086"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healthcare, education, and manufacturing to home automation and transportation.</w:t>
      </w:r>
    </w:p>
    <w:p w14:paraId="68684E5F"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Through rigorous research, the development of best practices, and an open and</w:t>
      </w:r>
    </w:p>
    <w:p w14:paraId="04938D79" w14:textId="77777777" w:rsidR="00860152" w:rsidRDefault="00860152" w:rsidP="00860152">
      <w:pPr>
        <w:autoSpaceDE w:val="0"/>
        <w:autoSpaceDN w:val="0"/>
        <w:adjustRightInd w:val="0"/>
        <w:spacing w:after="0" w:line="240" w:lineRule="auto"/>
        <w:rPr>
          <w:rFonts w:ascii="AvenirNext-Medium" w:hAnsi="AvenirNext-Medium" w:cs="AvenirNext-Medium"/>
          <w:sz w:val="24"/>
          <w:szCs w:val="24"/>
        </w:rPr>
      </w:pPr>
      <w:r>
        <w:rPr>
          <w:rFonts w:ascii="AvenirNext-Medium" w:hAnsi="AvenirNext-Medium" w:cs="AvenirNext-Medium"/>
          <w:sz w:val="24"/>
          <w:szCs w:val="24"/>
        </w:rPr>
        <w:t>transparent dialogue, the founding members of the Partnership on AI hope to maximize</w:t>
      </w:r>
    </w:p>
    <w:p w14:paraId="4D1A75AB" w14:textId="7E39771C" w:rsidR="00860152" w:rsidRDefault="00860152" w:rsidP="00860152">
      <w:pPr>
        <w:spacing w:after="0" w:line="240" w:lineRule="auto"/>
        <w:rPr>
          <w:rFonts w:ascii="AvenirNext-Medium" w:hAnsi="AvenirNext-Medium" w:cs="AvenirNext-Medium"/>
          <w:sz w:val="24"/>
          <w:szCs w:val="24"/>
        </w:rPr>
      </w:pPr>
      <w:r>
        <w:rPr>
          <w:rFonts w:ascii="AvenirNext-Medium" w:hAnsi="AvenirNext-Medium" w:cs="AvenirNext-Medium"/>
          <w:sz w:val="24"/>
          <w:szCs w:val="24"/>
        </w:rPr>
        <w:t>this potential and ensure it benefits as many people as possible.</w:t>
      </w:r>
    </w:p>
    <w:p w14:paraId="7D9B5CF6" w14:textId="4C4A49DE" w:rsidR="00F13DF7" w:rsidRDefault="00F13DF7" w:rsidP="00860152">
      <w:pPr>
        <w:spacing w:after="0" w:line="240" w:lineRule="auto"/>
        <w:rPr>
          <w:rFonts w:ascii="AvenirNext-Medium" w:hAnsi="AvenirNext-Medium" w:cs="AvenirNext-Medium"/>
          <w:sz w:val="24"/>
          <w:szCs w:val="24"/>
        </w:rPr>
      </w:pPr>
    </w:p>
    <w:p w14:paraId="6278364D" w14:textId="77777777" w:rsidR="00737B7F" w:rsidRDefault="00737B7F" w:rsidP="00737B7F">
      <w:pPr>
        <w:tabs>
          <w:tab w:val="left" w:pos="3345"/>
        </w:tabs>
        <w:spacing w:after="0" w:line="240" w:lineRule="auto"/>
        <w:rPr>
          <w:rFonts w:ascii="AvenirNext-Medium" w:hAnsi="AvenirNext-Medium" w:cs="AvenirNext-Medium"/>
          <w:sz w:val="24"/>
          <w:szCs w:val="24"/>
        </w:rPr>
      </w:pPr>
    </w:p>
    <w:p w14:paraId="4368AF7E" w14:textId="54D781E8" w:rsidR="00A7771C" w:rsidRDefault="00FE54A5" w:rsidP="00FE54A5">
      <w:pPr>
        <w:pStyle w:val="Titre2"/>
        <w:pBdr>
          <w:top w:val="single" w:sz="4" w:space="1" w:color="auto"/>
          <w:left w:val="single" w:sz="4" w:space="4" w:color="auto"/>
          <w:bottom w:val="single" w:sz="4" w:space="1" w:color="auto"/>
          <w:right w:val="single" w:sz="4" w:space="4" w:color="auto"/>
        </w:pBdr>
      </w:pPr>
      <w:r>
        <w:t xml:space="preserve">Sea </w:t>
      </w:r>
      <w:r w:rsidR="0063025F">
        <w:t>Matilda Bez</w:t>
      </w:r>
      <w:r>
        <w:t xml:space="preserve"> </w:t>
      </w:r>
      <w:r w:rsidR="0063025F">
        <w:t xml:space="preserve">and Henry Chesbrough. "Competitor Collaboration Before a Crisis: What the AI Industry Can Learn." </w:t>
      </w:r>
      <w:r w:rsidR="0063025F">
        <w:rPr>
          <w:i/>
          <w:iCs/>
        </w:rPr>
        <w:t>Research-Technology Management</w:t>
      </w:r>
      <w:r w:rsidR="0063025F">
        <w:t xml:space="preserve"> 63.3 (2020): 42-48</w:t>
      </w:r>
    </w:p>
    <w:p w14:paraId="73F401A4" w14:textId="72EFF619" w:rsidR="00A7771C" w:rsidRDefault="00A7771C" w:rsidP="00585C8E"/>
    <w:p w14:paraId="7D71B559" w14:textId="77777777" w:rsidR="00A7771C" w:rsidRPr="00941B0B" w:rsidRDefault="00A7771C" w:rsidP="00DD4AD1">
      <w:r w:rsidRPr="00941B0B">
        <w:lastRenderedPageBreak/>
        <w:t xml:space="preserve">Artificial intelligence (AI) technology is promising and controversial. </w:t>
      </w:r>
      <w:r>
        <w:t xml:space="preserve">AI </w:t>
      </w:r>
      <w:r w:rsidRPr="00941B0B">
        <w:rPr>
          <w:shd w:val="clear" w:color="auto" w:fill="FFFFFF"/>
        </w:rPr>
        <w:t xml:space="preserve">is a </w:t>
      </w:r>
      <w:r w:rsidRPr="00941B0B">
        <w:t>technological</w:t>
      </w:r>
      <w:r w:rsidRPr="00941B0B">
        <w:rPr>
          <w:shd w:val="clear" w:color="auto" w:fill="FFFFFF"/>
        </w:rPr>
        <w:t xml:space="preserve"> breakthrough</w:t>
      </w:r>
      <w:r>
        <w:rPr>
          <w:shd w:val="clear" w:color="auto" w:fill="FFFFFF"/>
        </w:rPr>
        <w:t xml:space="preserve"> in software development—unlocked by the amount of accessible data, increased computation power, and advanced algorithms—</w:t>
      </w:r>
      <w:r w:rsidRPr="00941B0B">
        <w:rPr>
          <w:shd w:val="clear" w:color="auto" w:fill="FFFFFF"/>
        </w:rPr>
        <w:t>that</w:t>
      </w:r>
      <w:r>
        <w:rPr>
          <w:shd w:val="clear" w:color="auto" w:fill="FFFFFF"/>
        </w:rPr>
        <w:t xml:space="preserve"> </w:t>
      </w:r>
      <w:r w:rsidRPr="00941B0B">
        <w:rPr>
          <w:shd w:val="clear" w:color="auto" w:fill="FFFFFF"/>
        </w:rPr>
        <w:t xml:space="preserve">vastly improves the ability of </w:t>
      </w:r>
      <w:r>
        <w:rPr>
          <w:shd w:val="clear" w:color="auto" w:fill="FFFFFF"/>
        </w:rPr>
        <w:t>computer systems</w:t>
      </w:r>
      <w:r w:rsidRPr="00941B0B">
        <w:rPr>
          <w:shd w:val="clear" w:color="auto" w:fill="FFFFFF"/>
        </w:rPr>
        <w:t xml:space="preserve"> to make accurate predictions, optimize decision-making, enable voice as an input source for computing, identify and access digital images, and translate between languages. AI </w:t>
      </w:r>
      <w:r>
        <w:rPr>
          <w:shd w:val="clear" w:color="auto" w:fill="FFFFFF"/>
        </w:rPr>
        <w:t>is</w:t>
      </w:r>
      <w:r w:rsidRPr="00941B0B">
        <w:rPr>
          <w:shd w:val="clear" w:color="auto" w:fill="FFFFFF"/>
        </w:rPr>
        <w:t xml:space="preserve"> a general-purpose technology</w:t>
      </w:r>
      <w:r>
        <w:rPr>
          <w:shd w:val="clear" w:color="auto" w:fill="FFFFFF"/>
        </w:rPr>
        <w:t xml:space="preserve"> able</w:t>
      </w:r>
      <w:r w:rsidRPr="00941B0B">
        <w:rPr>
          <w:shd w:val="clear" w:color="auto" w:fill="FFFFFF"/>
        </w:rPr>
        <w:t xml:space="preserve"> to generate value in applications across many industries</w:t>
      </w:r>
      <w:r>
        <w:rPr>
          <w:shd w:val="clear" w:color="auto" w:fill="FFFFFF"/>
        </w:rPr>
        <w:t xml:space="preserve"> (Agrawal, </w:t>
      </w:r>
      <w:proofErr w:type="spellStart"/>
      <w:r>
        <w:rPr>
          <w:shd w:val="clear" w:color="auto" w:fill="FFFFFF"/>
        </w:rPr>
        <w:t>Gans</w:t>
      </w:r>
      <w:proofErr w:type="spellEnd"/>
      <w:r>
        <w:rPr>
          <w:shd w:val="clear" w:color="auto" w:fill="FFFFFF"/>
        </w:rPr>
        <w:t>, and Goldfarb 2018).</w:t>
      </w:r>
      <w:r w:rsidRPr="00941B0B">
        <w:rPr>
          <w:shd w:val="clear" w:color="auto" w:fill="FFFFFF"/>
        </w:rPr>
        <w:t xml:space="preserve"> </w:t>
      </w:r>
      <w:r>
        <w:rPr>
          <w:shd w:val="clear" w:color="auto" w:fill="FFFFFF"/>
        </w:rPr>
        <w:t>A</w:t>
      </w:r>
      <w:r w:rsidRPr="00941B0B">
        <w:rPr>
          <w:shd w:val="clear" w:color="auto" w:fill="FFFFFF"/>
        </w:rPr>
        <w:t>pplications</w:t>
      </w:r>
      <w:r>
        <w:rPr>
          <w:shd w:val="clear" w:color="auto" w:fill="FFFFFF"/>
        </w:rPr>
        <w:t xml:space="preserve"> of AI include</w:t>
      </w:r>
      <w:r w:rsidRPr="00941B0B">
        <w:rPr>
          <w:shd w:val="clear" w:color="auto" w:fill="FFFFFF"/>
        </w:rPr>
        <w:t xml:space="preserve"> self-driving cars</w:t>
      </w:r>
      <w:r>
        <w:rPr>
          <w:shd w:val="clear" w:color="auto" w:fill="FFFFFF"/>
        </w:rPr>
        <w:t>, cancer diagnoses,</w:t>
      </w:r>
      <w:r w:rsidRPr="00941B0B">
        <w:rPr>
          <w:shd w:val="clear" w:color="auto" w:fill="FFFFFF"/>
        </w:rPr>
        <w:t xml:space="preserve"> </w:t>
      </w:r>
      <w:r>
        <w:rPr>
          <w:shd w:val="clear" w:color="auto" w:fill="FFFFFF"/>
        </w:rPr>
        <w:t>robotics, and automated content.</w:t>
      </w:r>
      <w:r w:rsidRPr="00941B0B">
        <w:rPr>
          <w:shd w:val="clear" w:color="auto" w:fill="FFFFFF"/>
        </w:rPr>
        <w:t xml:space="preserve"> </w:t>
      </w:r>
      <w:r>
        <w:rPr>
          <w:shd w:val="clear" w:color="auto" w:fill="FFFFFF"/>
        </w:rPr>
        <w:t>S</w:t>
      </w:r>
      <w:r w:rsidRPr="00941B0B">
        <w:rPr>
          <w:shd w:val="clear" w:color="auto" w:fill="FFFFFF"/>
        </w:rPr>
        <w:t xml:space="preserve">ome US jurisdictions have already passed legislation mandating </w:t>
      </w:r>
      <w:r>
        <w:rPr>
          <w:shd w:val="clear" w:color="auto" w:fill="FFFFFF"/>
        </w:rPr>
        <w:t>that the US</w:t>
      </w:r>
      <w:r w:rsidRPr="00941B0B">
        <w:rPr>
          <w:shd w:val="clear" w:color="auto" w:fill="FFFFFF"/>
        </w:rPr>
        <w:t xml:space="preserve"> criminal justice system develop and use basic AI tools in sentencing and parole decisions.</w:t>
      </w:r>
      <w:r w:rsidRPr="00941B0B">
        <w:rPr>
          <w:vertAlign w:val="superscript"/>
        </w:rPr>
        <w:t xml:space="preserve"> </w:t>
      </w:r>
      <w:r>
        <w:t xml:space="preserve">As </w:t>
      </w:r>
      <w:proofErr w:type="spellStart"/>
      <w:r>
        <w:t>Koepke</w:t>
      </w:r>
      <w:proofErr w:type="spellEnd"/>
      <w:r>
        <w:t xml:space="preserve"> et al. (2018) explain, </w:t>
      </w:r>
      <w:r w:rsidRPr="003527F5">
        <w:t>“In the last five years, legislators in all fifty states have made changes to their pretrial justice systems. Reform efforts aim to shrink jails by incarcerating fewer people—particularly poor, low-risk defendants and racial minorities. Many jurisdictions are embracing pretrial risk assessment instruments—statistical tools that use historical data to forecast which defendants can safely be released—as a centerpiece of reform</w:t>
      </w:r>
      <w:r>
        <w:t>.</w:t>
      </w:r>
      <w:r w:rsidRPr="003527F5">
        <w:t>”</w:t>
      </w:r>
      <w:r w:rsidRPr="00941B0B">
        <w:t xml:space="preserve"> </w:t>
      </w:r>
    </w:p>
    <w:p w14:paraId="0E470422" w14:textId="77777777" w:rsidR="00A7771C" w:rsidRPr="00E9765A" w:rsidRDefault="00A7771C" w:rsidP="00DD4AD1">
      <w:pPr>
        <w:rPr>
          <w:sz w:val="24"/>
          <w:szCs w:val="24"/>
          <w:shd w:val="clear" w:color="auto" w:fill="FFFFFF"/>
        </w:rPr>
      </w:pPr>
      <w:r w:rsidRPr="009A2A06">
        <w:rPr>
          <w:sz w:val="24"/>
          <w:szCs w:val="24"/>
          <w:shd w:val="clear" w:color="auto" w:fill="FFFFFF"/>
          <w:lang w:val="en-GB"/>
        </w:rPr>
        <w:t xml:space="preserve">The AI </w:t>
      </w:r>
      <w:r>
        <w:rPr>
          <w:sz w:val="24"/>
          <w:szCs w:val="24"/>
          <w:shd w:val="clear" w:color="auto" w:fill="FFFFFF"/>
          <w:lang w:val="en-GB"/>
        </w:rPr>
        <w:t xml:space="preserve">industry, which includes </w:t>
      </w:r>
      <w:r w:rsidRPr="00BC0BE7">
        <w:rPr>
          <w:sz w:val="24"/>
          <w:szCs w:val="24"/>
          <w:lang w:val="en-GB"/>
        </w:rPr>
        <w:t xml:space="preserve">all the companies that prioritize AI and thus </w:t>
      </w:r>
      <w:r>
        <w:rPr>
          <w:sz w:val="24"/>
          <w:szCs w:val="24"/>
          <w:lang w:val="en-GB"/>
        </w:rPr>
        <w:t xml:space="preserve">reinvent themselves </w:t>
      </w:r>
      <w:r w:rsidRPr="00BC0BE7">
        <w:rPr>
          <w:sz w:val="24"/>
          <w:szCs w:val="24"/>
          <w:lang w:val="en-GB"/>
        </w:rPr>
        <w:t xml:space="preserve">to </w:t>
      </w:r>
      <w:r w:rsidRPr="00D9728F">
        <w:rPr>
          <w:sz w:val="24"/>
          <w:szCs w:val="24"/>
          <w:lang w:val="en-GB"/>
        </w:rPr>
        <w:t xml:space="preserve">benefit from </w:t>
      </w:r>
      <w:r>
        <w:rPr>
          <w:sz w:val="24"/>
          <w:szCs w:val="24"/>
          <w:lang w:val="en-GB"/>
        </w:rPr>
        <w:t>what</w:t>
      </w:r>
      <w:r w:rsidRPr="00D9728F">
        <w:rPr>
          <w:sz w:val="24"/>
          <w:szCs w:val="24"/>
          <w:lang w:val="en-GB"/>
        </w:rPr>
        <w:t xml:space="preserve"> AI do</w:t>
      </w:r>
      <w:r>
        <w:rPr>
          <w:sz w:val="24"/>
          <w:szCs w:val="24"/>
          <w:lang w:val="en-GB"/>
        </w:rPr>
        <w:t>es</w:t>
      </w:r>
      <w:r w:rsidRPr="00D9728F">
        <w:rPr>
          <w:sz w:val="24"/>
          <w:szCs w:val="24"/>
          <w:lang w:val="en-GB"/>
        </w:rPr>
        <w:t xml:space="preserve"> very well</w:t>
      </w:r>
      <w:r>
        <w:rPr>
          <w:sz w:val="24"/>
          <w:szCs w:val="24"/>
          <w:lang w:val="en-GB"/>
        </w:rPr>
        <w:t>,</w:t>
      </w:r>
      <w:r w:rsidRPr="00D9728F">
        <w:rPr>
          <w:sz w:val="24"/>
          <w:szCs w:val="24"/>
          <w:lang w:val="en-GB"/>
        </w:rPr>
        <w:t xml:space="preserve"> such a</w:t>
      </w:r>
      <w:r>
        <w:rPr>
          <w:sz w:val="24"/>
          <w:szCs w:val="24"/>
          <w:lang w:val="en-GB"/>
        </w:rPr>
        <w:t xml:space="preserve">s </w:t>
      </w:r>
      <w:r w:rsidRPr="00D9728F">
        <w:rPr>
          <w:sz w:val="24"/>
          <w:szCs w:val="24"/>
          <w:lang w:val="en-GB"/>
        </w:rPr>
        <w:t>strategic data acquisition</w:t>
      </w:r>
      <w:r w:rsidRPr="00BC0BE7">
        <w:rPr>
          <w:sz w:val="24"/>
          <w:szCs w:val="24"/>
          <w:lang w:val="en-GB"/>
        </w:rPr>
        <w:t xml:space="preserve"> o</w:t>
      </w:r>
      <w:r w:rsidRPr="004966FD">
        <w:rPr>
          <w:sz w:val="24"/>
          <w:szCs w:val="24"/>
          <w:lang w:val="en-GB"/>
        </w:rPr>
        <w:t>r automation</w:t>
      </w:r>
      <w:r>
        <w:rPr>
          <w:sz w:val="24"/>
          <w:szCs w:val="24"/>
          <w:lang w:val="en-GB"/>
        </w:rPr>
        <w:t xml:space="preserve">, </w:t>
      </w:r>
      <w:r w:rsidRPr="00BC0BE7">
        <w:rPr>
          <w:sz w:val="24"/>
          <w:szCs w:val="24"/>
          <w:lang w:val="en-GB"/>
        </w:rPr>
        <w:t>has received several warnings. Tesla CEO Elon Musk likened AI research to “summoning the demon</w:t>
      </w:r>
      <w:r w:rsidRPr="007A358F">
        <w:rPr>
          <w:sz w:val="24"/>
          <w:szCs w:val="24"/>
          <w:lang w:val="en-GB"/>
        </w:rPr>
        <w:t>” (</w:t>
      </w:r>
      <w:r>
        <w:rPr>
          <w:sz w:val="24"/>
          <w:szCs w:val="24"/>
          <w:lang w:val="en-GB"/>
        </w:rPr>
        <w:t>Bloomberg</w:t>
      </w:r>
      <w:r w:rsidRPr="007A358F">
        <w:rPr>
          <w:sz w:val="24"/>
          <w:szCs w:val="24"/>
          <w:lang w:val="en-GB"/>
        </w:rPr>
        <w:t xml:space="preserve"> 2014, 0:17).</w:t>
      </w:r>
      <w:r w:rsidRPr="00BC0BE7">
        <w:rPr>
          <w:sz w:val="24"/>
          <w:szCs w:val="24"/>
          <w:lang w:val="en-GB"/>
        </w:rPr>
        <w:t xml:space="preserve"> Nobel prize–winning physicist Stephen Hawking</w:t>
      </w:r>
      <w:r w:rsidRPr="00916A63">
        <w:rPr>
          <w:sz w:val="24"/>
          <w:szCs w:val="24"/>
          <w:shd w:val="clear" w:color="auto" w:fill="FFFFFF"/>
          <w:lang w:val="en-GB"/>
        </w:rPr>
        <w:t xml:space="preserve"> told the BBC in 2014, “The development of full artificial intelligence could spell the end of the human race”</w:t>
      </w:r>
      <w:r>
        <w:rPr>
          <w:sz w:val="24"/>
          <w:szCs w:val="24"/>
          <w:shd w:val="clear" w:color="auto" w:fill="FFFFFF"/>
          <w:lang w:val="en-GB"/>
        </w:rPr>
        <w:t xml:space="preserve"> </w:t>
      </w:r>
      <w:r w:rsidRPr="007A358F">
        <w:rPr>
          <w:sz w:val="24"/>
          <w:szCs w:val="24"/>
          <w:shd w:val="clear" w:color="auto" w:fill="FFFFFF"/>
          <w:lang w:val="en-GB"/>
        </w:rPr>
        <w:t>(</w:t>
      </w:r>
      <w:r>
        <w:rPr>
          <w:sz w:val="24"/>
          <w:szCs w:val="24"/>
          <w:shd w:val="clear" w:color="auto" w:fill="FFFFFF"/>
          <w:lang w:val="en-GB"/>
        </w:rPr>
        <w:t>British Broadcasting Corporation</w:t>
      </w:r>
      <w:r w:rsidRPr="007A358F">
        <w:rPr>
          <w:sz w:val="24"/>
          <w:szCs w:val="24"/>
          <w:shd w:val="clear" w:color="auto" w:fill="FFFFFF"/>
          <w:lang w:val="en-GB"/>
        </w:rPr>
        <w:t xml:space="preserve"> 2014</w:t>
      </w:r>
      <w:r>
        <w:rPr>
          <w:sz w:val="24"/>
          <w:szCs w:val="24"/>
          <w:shd w:val="clear" w:color="auto" w:fill="FFFFFF"/>
          <w:lang w:val="en-GB"/>
        </w:rPr>
        <w:t>, 3:40</w:t>
      </w:r>
      <w:r w:rsidRPr="007A358F">
        <w:rPr>
          <w:sz w:val="24"/>
          <w:szCs w:val="24"/>
          <w:shd w:val="clear" w:color="auto" w:fill="FFFFFF"/>
          <w:lang w:val="en-GB"/>
        </w:rPr>
        <w:t>).</w:t>
      </w:r>
      <w:r>
        <w:rPr>
          <w:sz w:val="24"/>
          <w:szCs w:val="24"/>
          <w:shd w:val="clear" w:color="auto" w:fill="FFFFFF"/>
          <w:lang w:val="en-GB"/>
        </w:rPr>
        <w:t xml:space="preserve"> The </w:t>
      </w:r>
      <w:r w:rsidRPr="00DC3F31">
        <w:rPr>
          <w:sz w:val="24"/>
          <w:szCs w:val="24"/>
          <w:shd w:val="clear" w:color="auto" w:fill="FFFFFF"/>
          <w:lang w:val="en-GB"/>
        </w:rPr>
        <w:t>Army Cyber Institute and A</w:t>
      </w:r>
      <w:r>
        <w:rPr>
          <w:sz w:val="24"/>
          <w:szCs w:val="24"/>
          <w:shd w:val="clear" w:color="auto" w:fill="FFFFFF"/>
          <w:lang w:val="en-GB"/>
        </w:rPr>
        <w:t>rizona State University</w:t>
      </w:r>
      <w:r w:rsidRPr="00DC3F31">
        <w:rPr>
          <w:sz w:val="24"/>
          <w:szCs w:val="24"/>
          <w:shd w:val="clear" w:color="auto" w:fill="FFFFFF"/>
          <w:lang w:val="en-GB"/>
        </w:rPr>
        <w:t xml:space="preserve">’s </w:t>
      </w:r>
      <w:proofErr w:type="spellStart"/>
      <w:r w:rsidRPr="00DC3F31">
        <w:rPr>
          <w:sz w:val="24"/>
          <w:szCs w:val="24"/>
          <w:shd w:val="clear" w:color="auto" w:fill="FFFFFF"/>
          <w:lang w:val="en-GB"/>
        </w:rPr>
        <w:t>Threatcasting</w:t>
      </w:r>
      <w:proofErr w:type="spellEnd"/>
      <w:r w:rsidRPr="00DC3F31">
        <w:rPr>
          <w:sz w:val="24"/>
          <w:szCs w:val="24"/>
          <w:shd w:val="clear" w:color="auto" w:fill="FFFFFF"/>
          <w:lang w:val="en-GB"/>
        </w:rPr>
        <w:t xml:space="preserve"> Lab </w:t>
      </w:r>
      <w:r>
        <w:rPr>
          <w:sz w:val="24"/>
          <w:szCs w:val="24"/>
          <w:shd w:val="clear" w:color="auto" w:fill="FFFFFF"/>
          <w:lang w:val="en-GB"/>
        </w:rPr>
        <w:t xml:space="preserve">have identified </w:t>
      </w:r>
      <w:r w:rsidRPr="00DC3F31">
        <w:rPr>
          <w:sz w:val="24"/>
          <w:szCs w:val="24"/>
          <w:shd w:val="clear" w:color="auto" w:fill="FFFFFF"/>
          <w:lang w:val="en-GB"/>
        </w:rPr>
        <w:t xml:space="preserve">key </w:t>
      </w:r>
      <w:r>
        <w:rPr>
          <w:sz w:val="24"/>
          <w:szCs w:val="24"/>
          <w:shd w:val="clear" w:color="auto" w:fill="FFFFFF"/>
          <w:lang w:val="en-GB"/>
        </w:rPr>
        <w:t xml:space="preserve">future </w:t>
      </w:r>
      <w:r w:rsidRPr="00DC3F31">
        <w:rPr>
          <w:sz w:val="24"/>
          <w:szCs w:val="24"/>
          <w:shd w:val="clear" w:color="auto" w:fill="FFFFFF"/>
          <w:lang w:val="en-GB"/>
        </w:rPr>
        <w:t>threat areas</w:t>
      </w:r>
      <w:r>
        <w:rPr>
          <w:sz w:val="24"/>
          <w:szCs w:val="24"/>
          <w:shd w:val="clear" w:color="auto" w:fill="FFFFFF"/>
          <w:lang w:val="en-GB"/>
        </w:rPr>
        <w:t xml:space="preserve"> including</w:t>
      </w:r>
      <w:r w:rsidRPr="00DC3F31">
        <w:rPr>
          <w:sz w:val="24"/>
          <w:szCs w:val="24"/>
          <w:shd w:val="clear" w:color="auto" w:fill="FFFFFF"/>
          <w:lang w:val="en-GB"/>
        </w:rPr>
        <w:t xml:space="preserve"> weaponized AI</w:t>
      </w:r>
      <w:r>
        <w:rPr>
          <w:sz w:val="24"/>
          <w:szCs w:val="24"/>
          <w:shd w:val="clear" w:color="auto" w:fill="FFFFFF"/>
          <w:lang w:val="en-GB"/>
        </w:rPr>
        <w:t>,</w:t>
      </w:r>
      <w:r w:rsidRPr="00DC3F31" w:rsidDel="00DC3F31">
        <w:rPr>
          <w:sz w:val="24"/>
          <w:szCs w:val="24"/>
          <w:shd w:val="clear" w:color="auto" w:fill="FFFFFF"/>
          <w:lang w:val="en-GB"/>
        </w:rPr>
        <w:t xml:space="preserve"> </w:t>
      </w:r>
      <w:r w:rsidRPr="004966FD">
        <w:rPr>
          <w:sz w:val="24"/>
          <w:szCs w:val="24"/>
          <w:shd w:val="clear" w:color="auto" w:fill="FFFFFF"/>
          <w:lang w:val="en-GB"/>
        </w:rPr>
        <w:t>large-scale unemployment from job displacement, and panopticon social control of citizens</w:t>
      </w:r>
      <w:r>
        <w:rPr>
          <w:sz w:val="24"/>
          <w:szCs w:val="24"/>
          <w:shd w:val="clear" w:color="auto" w:fill="FFFFFF"/>
          <w:lang w:val="en-GB"/>
        </w:rPr>
        <w:t xml:space="preserve"> </w:t>
      </w:r>
      <w:r w:rsidRPr="00E9765A">
        <w:rPr>
          <w:sz w:val="24"/>
          <w:szCs w:val="24"/>
          <w:shd w:val="clear" w:color="auto" w:fill="FFFFFF"/>
          <w:lang w:val="en-GB"/>
        </w:rPr>
        <w:t>(</w:t>
      </w:r>
      <w:r w:rsidRPr="00E9765A">
        <w:rPr>
          <w:rFonts w:cs="Times New Roman"/>
          <w:noProof/>
          <w:sz w:val="24"/>
          <w:szCs w:val="24"/>
        </w:rPr>
        <w:t>Army Cyber Institute at West Point and Arizona State University Threatcasting Lab 2017)</w:t>
      </w:r>
      <w:r w:rsidRPr="00E9765A">
        <w:rPr>
          <w:sz w:val="24"/>
          <w:szCs w:val="24"/>
          <w:shd w:val="clear" w:color="auto" w:fill="FFFFFF"/>
          <w:lang w:val="en-GB"/>
        </w:rPr>
        <w:t xml:space="preserve">. </w:t>
      </w:r>
    </w:p>
    <w:p w14:paraId="557635F0" w14:textId="77777777" w:rsidR="00A7771C" w:rsidRPr="00D61307" w:rsidRDefault="00A7771C" w:rsidP="00DD4AD1">
      <w:r w:rsidRPr="00941B0B">
        <w:t xml:space="preserve">While these </w:t>
      </w:r>
      <w:r>
        <w:t>possibilities are not imminent</w:t>
      </w:r>
      <w:r w:rsidRPr="00941B0B">
        <w:t xml:space="preserve">, other risks from </w:t>
      </w:r>
      <w:r>
        <w:t xml:space="preserve">using </w:t>
      </w:r>
      <w:r w:rsidRPr="00941B0B">
        <w:t xml:space="preserve">AI are already </w:t>
      </w:r>
      <w:r>
        <w:t>evident</w:t>
      </w:r>
      <w:r w:rsidRPr="00941B0B">
        <w:t xml:space="preserve">. </w:t>
      </w:r>
      <w:r>
        <w:t xml:space="preserve">Using </w:t>
      </w:r>
      <w:r w:rsidRPr="00941B0B">
        <w:t xml:space="preserve">AI risk assessment tools in the US criminal justice system to reduce </w:t>
      </w:r>
      <w:r w:rsidRPr="00F31452">
        <w:t xml:space="preserve">the number of pretrial detentions of suspects </w:t>
      </w:r>
      <w:r>
        <w:t xml:space="preserve">may </w:t>
      </w:r>
      <w:r w:rsidRPr="00F31452">
        <w:t>inadvertently increase the disproportionate detention of racial minorities (Partnership on AI 201</w:t>
      </w:r>
      <w:r>
        <w:t>9</w:t>
      </w:r>
      <w:r w:rsidRPr="00F31452">
        <w:t xml:space="preserve">; </w:t>
      </w:r>
      <w:proofErr w:type="spellStart"/>
      <w:r w:rsidRPr="00F31452">
        <w:t>Koepke</w:t>
      </w:r>
      <w:proofErr w:type="spellEnd"/>
      <w:r w:rsidRPr="00F31452">
        <w:t xml:space="preserve"> et al. 2018). Skilled users of AI technology can create “deep fake” video, where a person can be made to say almost anything, and it is impossible to detect the manipulation and fake content </w:t>
      </w:r>
      <w:r w:rsidRPr="007A358F">
        <w:t>(</w:t>
      </w:r>
      <w:r>
        <w:t>C-SPAN</w:t>
      </w:r>
      <w:r w:rsidRPr="007A358F">
        <w:t xml:space="preserve"> 2019</w:t>
      </w:r>
      <w:r>
        <w:t>, 42:50</w:t>
      </w:r>
      <w:r w:rsidRPr="007A358F">
        <w:t>).</w:t>
      </w:r>
      <w:r w:rsidRPr="00F31452">
        <w:t xml:space="preserve"> Such risks are the unintentional result of companies like Google or IBM making freely available to researchers, graduate students, and anyone with an interest in machine learning tools like Tensor Flow</w:t>
      </w:r>
      <w:r>
        <w:t>,</w:t>
      </w:r>
      <w:r w:rsidRPr="00F31452">
        <w:t xml:space="preserve"> an </w:t>
      </w:r>
      <w:proofErr w:type="gramStart"/>
      <w:r w:rsidRPr="00F31452">
        <w:t>o</w:t>
      </w:r>
      <w:r w:rsidRPr="00F31452">
        <w:rPr>
          <w:rStyle w:val="e24kjd"/>
        </w:rPr>
        <w:t>pen source</w:t>
      </w:r>
      <w:proofErr w:type="gramEnd"/>
      <w:r w:rsidRPr="00F31452">
        <w:rPr>
          <w:rStyle w:val="e24kjd"/>
        </w:rPr>
        <w:t xml:space="preserve"> software library that</w:t>
      </w:r>
      <w:r>
        <w:rPr>
          <w:rStyle w:val="e24kjd"/>
        </w:rPr>
        <w:t xml:space="preserve"> </w:t>
      </w:r>
      <w:r w:rsidRPr="00F31452">
        <w:rPr>
          <w:rStyle w:val="e24kjd"/>
        </w:rPr>
        <w:t>make</w:t>
      </w:r>
      <w:r>
        <w:rPr>
          <w:rStyle w:val="e24kjd"/>
        </w:rPr>
        <w:t>s</w:t>
      </w:r>
      <w:r w:rsidRPr="00F31452">
        <w:rPr>
          <w:rStyle w:val="e24kjd"/>
        </w:rPr>
        <w:t xml:space="preserve"> it easier for any developers to design, build, and train deep learning models</w:t>
      </w:r>
      <w:r>
        <w:rPr>
          <w:rStyle w:val="e24kjd"/>
        </w:rPr>
        <w:t xml:space="preserve">, </w:t>
      </w:r>
      <w:r>
        <w:t>and</w:t>
      </w:r>
      <w:r w:rsidRPr="00F31452">
        <w:t xml:space="preserve"> Apache System ML</w:t>
      </w:r>
      <w:r>
        <w:t>,</w:t>
      </w:r>
      <w:r w:rsidRPr="00F31452">
        <w:t xml:space="preserve"> a machine learning system that can scale and </w:t>
      </w:r>
      <w:r w:rsidRPr="00F31452">
        <w:rPr>
          <w:rStyle w:val="st"/>
        </w:rPr>
        <w:t xml:space="preserve">optimize </w:t>
      </w:r>
      <w:r>
        <w:rPr>
          <w:rStyle w:val="st"/>
        </w:rPr>
        <w:t>m</w:t>
      </w:r>
      <w:r w:rsidRPr="00F31452">
        <w:rPr>
          <w:rStyle w:val="st"/>
        </w:rPr>
        <w:t xml:space="preserve">achine </w:t>
      </w:r>
      <w:r>
        <w:rPr>
          <w:rStyle w:val="st"/>
        </w:rPr>
        <w:t>l</w:t>
      </w:r>
      <w:r w:rsidRPr="00F31452">
        <w:rPr>
          <w:rStyle w:val="st"/>
        </w:rPr>
        <w:t>earning project</w:t>
      </w:r>
      <w:r>
        <w:rPr>
          <w:rStyle w:val="st"/>
        </w:rPr>
        <w:t>s</w:t>
      </w:r>
      <w:r w:rsidRPr="00F31452">
        <w:rPr>
          <w:rStyle w:val="st"/>
        </w:rPr>
        <w:t xml:space="preserve"> using big data</w:t>
      </w:r>
      <w:r w:rsidRPr="00F31452">
        <w:t xml:space="preserve">. Democratizing access to these tools stimulates positive research into AI but also creates possible downsides. </w:t>
      </w:r>
      <w:r w:rsidRPr="00F92DAF">
        <w:t xml:space="preserve">AI technology used for a negative purpose by one person or company could damage the </w:t>
      </w:r>
      <w:r>
        <w:t xml:space="preserve">entire </w:t>
      </w:r>
      <w:r w:rsidRPr="00F92DAF">
        <w:t xml:space="preserve">AI industry </w:t>
      </w:r>
      <w:r>
        <w:t>and lead to an</w:t>
      </w:r>
      <w:r w:rsidRPr="00F92DAF">
        <w:t xml:space="preserve"> extreme scenario </w:t>
      </w:r>
      <w:r>
        <w:t xml:space="preserve">of AI being </w:t>
      </w:r>
      <w:r w:rsidRPr="00F92DAF">
        <w:t>forbidd</w:t>
      </w:r>
      <w:r>
        <w:t>en</w:t>
      </w:r>
      <w:r w:rsidRPr="00F92DAF">
        <w:t>.</w:t>
      </w:r>
      <w:r>
        <w:t xml:space="preserve"> Tech giants using AI recognize its potential risks and the need for collaboration on a collective response. In 2016, </w:t>
      </w:r>
      <w:r w:rsidRPr="00F31452">
        <w:rPr>
          <w:rFonts w:cs="Times New Roman"/>
          <w:color w:val="000000" w:themeColor="text1"/>
          <w:shd w:val="clear" w:color="auto" w:fill="FFFFFF"/>
        </w:rPr>
        <w:t>Amazon, Facebook, Google</w:t>
      </w:r>
      <w:r>
        <w:rPr>
          <w:rFonts w:cs="Times New Roman"/>
          <w:color w:val="000000" w:themeColor="text1"/>
          <w:shd w:val="clear" w:color="auto" w:fill="FFFFFF"/>
        </w:rPr>
        <w:t>,</w:t>
      </w:r>
      <w:r w:rsidRPr="00F31452">
        <w:rPr>
          <w:rFonts w:cs="Times New Roman"/>
          <w:color w:val="000000" w:themeColor="text1"/>
          <w:shd w:val="clear" w:color="auto" w:fill="FFFFFF"/>
        </w:rPr>
        <w:t xml:space="preserve"> DeepMind, Microsoft</w:t>
      </w:r>
      <w:r>
        <w:rPr>
          <w:rFonts w:cs="Times New Roman"/>
          <w:color w:val="000000" w:themeColor="text1"/>
          <w:shd w:val="clear" w:color="auto" w:fill="FFFFFF"/>
        </w:rPr>
        <w:t>, and</w:t>
      </w:r>
      <w:r w:rsidRPr="00F31452">
        <w:rPr>
          <w:rFonts w:cs="Times New Roman"/>
          <w:color w:val="000000" w:themeColor="text1"/>
          <w:shd w:val="clear" w:color="auto" w:fill="FFFFFF"/>
        </w:rPr>
        <w:t xml:space="preserve"> IBM create</w:t>
      </w:r>
      <w:r>
        <w:rPr>
          <w:rFonts w:cs="Times New Roman"/>
          <w:color w:val="000000" w:themeColor="text1"/>
          <w:shd w:val="clear" w:color="auto" w:fill="FFFFFF"/>
        </w:rPr>
        <w:t xml:space="preserve">d the nonprofit organization Partnership on AI (PAI). Apple joined in 2017. Collectively they committed </w:t>
      </w:r>
      <w:r w:rsidRPr="00F31452">
        <w:rPr>
          <w:rFonts w:cs="Times New Roman"/>
          <w:color w:val="000000" w:themeColor="text1"/>
          <w:shd w:val="clear" w:color="auto" w:fill="FFFFFF"/>
        </w:rPr>
        <w:t>research resources to</w:t>
      </w:r>
      <w:r>
        <w:rPr>
          <w:rFonts w:cs="Times New Roman"/>
          <w:color w:val="000000" w:themeColor="text1"/>
          <w:shd w:val="clear" w:color="auto" w:fill="FFFFFF"/>
        </w:rPr>
        <w:t xml:space="preserve"> enable </w:t>
      </w:r>
      <w:r w:rsidRPr="00F31452">
        <w:rPr>
          <w:rFonts w:cs="Times New Roman"/>
          <w:color w:val="000000" w:themeColor="text1"/>
          <w:shd w:val="clear" w:color="auto" w:fill="FFFFFF"/>
        </w:rPr>
        <w:t>PAI</w:t>
      </w:r>
      <w:r>
        <w:rPr>
          <w:rFonts w:cs="Times New Roman"/>
          <w:color w:val="000000" w:themeColor="text1"/>
          <w:shd w:val="clear" w:color="auto" w:fill="FFFFFF"/>
        </w:rPr>
        <w:t xml:space="preserve"> to</w:t>
      </w:r>
      <w:r w:rsidRPr="00F31452">
        <w:rPr>
          <w:rFonts w:cs="Times New Roman"/>
          <w:color w:val="000000" w:themeColor="text1"/>
          <w:shd w:val="clear" w:color="auto" w:fill="FFFFFF"/>
        </w:rPr>
        <w:t xml:space="preserve"> study and formulate best practices on AI technologies, to advance the public’s understanding of AI, and to serve as an open platform for discussion and engagement about AI and its influences on people and society</w:t>
      </w:r>
      <w:r>
        <w:rPr>
          <w:rFonts w:cs="Times New Roman"/>
          <w:color w:val="000000" w:themeColor="text1"/>
          <w:shd w:val="clear" w:color="auto" w:fill="FFFFFF"/>
        </w:rPr>
        <w:t xml:space="preserve"> </w:t>
      </w:r>
      <w:r w:rsidRPr="007A358F">
        <w:rPr>
          <w:rFonts w:cs="Times New Roman"/>
          <w:color w:val="000000" w:themeColor="text1"/>
          <w:shd w:val="clear" w:color="auto" w:fill="FFFFFF"/>
        </w:rPr>
        <w:t>(Partnership on AI 201</w:t>
      </w:r>
      <w:r>
        <w:rPr>
          <w:rFonts w:cs="Times New Roman"/>
          <w:color w:val="000000" w:themeColor="text1"/>
          <w:shd w:val="clear" w:color="auto" w:fill="FFFFFF"/>
        </w:rPr>
        <w:t>9</w:t>
      </w:r>
      <w:r w:rsidRPr="007A358F">
        <w:rPr>
          <w:rFonts w:cs="Times New Roman"/>
          <w:color w:val="000000" w:themeColor="text1"/>
          <w:shd w:val="clear" w:color="auto" w:fill="FFFFFF"/>
        </w:rPr>
        <w:t>).</w:t>
      </w:r>
    </w:p>
    <w:p w14:paraId="33000AC2" w14:textId="1213C9E0" w:rsidR="00A7771C" w:rsidRDefault="00A7771C" w:rsidP="00DD4AD1">
      <w:r>
        <w:t>E</w:t>
      </w:r>
      <w:r w:rsidRPr="00F31452">
        <w:t xml:space="preserve">arlier examples exist </w:t>
      </w:r>
      <w:r>
        <w:t>where</w:t>
      </w:r>
      <w:r w:rsidRPr="00F31452">
        <w:t xml:space="preserve"> industries realiz</w:t>
      </w:r>
      <w:r>
        <w:t>ed</w:t>
      </w:r>
      <w:r w:rsidRPr="00F31452">
        <w:t xml:space="preserve"> the need </w:t>
      </w:r>
      <w:r>
        <w:t>for collective action</w:t>
      </w:r>
      <w:r w:rsidRPr="00F31452">
        <w:t xml:space="preserve"> to respond to serious downside risks from technology</w:t>
      </w:r>
      <w:r w:rsidRPr="005D20D3">
        <w:t xml:space="preserve"> </w:t>
      </w:r>
      <w:r>
        <w:t>(</w:t>
      </w:r>
      <w:proofErr w:type="gramStart"/>
      <w:r>
        <w:t>e.g.</w:t>
      </w:r>
      <w:proofErr w:type="gramEnd"/>
      <w:r>
        <w:t xml:space="preserve"> Browning, Beyer and </w:t>
      </w:r>
      <w:proofErr w:type="spellStart"/>
      <w:r>
        <w:t>Shetler</w:t>
      </w:r>
      <w:proofErr w:type="spellEnd"/>
      <w:r>
        <w:t xml:space="preserve"> 1995. King and Lenox 2000. </w:t>
      </w:r>
      <w:r>
        <w:lastRenderedPageBreak/>
        <w:t xml:space="preserve">Macher, Mowery and Hodges 1998; </w:t>
      </w:r>
      <w:proofErr w:type="spellStart"/>
      <w:r>
        <w:t>Moffet</w:t>
      </w:r>
      <w:proofErr w:type="spellEnd"/>
      <w:r>
        <w:t xml:space="preserve">, </w:t>
      </w:r>
      <w:proofErr w:type="spellStart"/>
      <w:r>
        <w:t>Bregha</w:t>
      </w:r>
      <w:proofErr w:type="spellEnd"/>
      <w:r>
        <w:t xml:space="preserve">, and </w:t>
      </w:r>
      <w:proofErr w:type="spellStart"/>
      <w:r>
        <w:t>Middelkoop</w:t>
      </w:r>
      <w:proofErr w:type="spellEnd"/>
      <w:r>
        <w:t xml:space="preserve"> 2004; Pronovost and Hudson 2012; Rea, Brooks, Burger, and </w:t>
      </w:r>
      <w:proofErr w:type="spellStart"/>
      <w:r>
        <w:t>LaScala</w:t>
      </w:r>
      <w:proofErr w:type="spellEnd"/>
      <w:r>
        <w:t xml:space="preserve"> 1997)</w:t>
      </w:r>
      <w:r w:rsidRPr="00F31452">
        <w:t xml:space="preserve">. The US nuclear and chemical industries had to collaborate to improve the safety </w:t>
      </w:r>
      <w:r>
        <w:t xml:space="preserve">and </w:t>
      </w:r>
      <w:r w:rsidRPr="00F31452">
        <w:t>security of their technology after huge accidents</w:t>
      </w:r>
      <w:r>
        <w:t xml:space="preserve">. The US semiconductor industry collaborated to avoid being wiped out by </w:t>
      </w:r>
      <w:r w:rsidRPr="00F31452">
        <w:rPr>
          <w:rFonts w:cs="Times New Roman"/>
          <w:color w:val="000000" w:themeColor="text1"/>
        </w:rPr>
        <w:t>a foreign</w:t>
      </w:r>
      <w:r w:rsidRPr="00F31452">
        <w:t xml:space="preserve"> competitor </w:t>
      </w:r>
      <w:r>
        <w:t>that could</w:t>
      </w:r>
      <w:r w:rsidRPr="00F31452">
        <w:t xml:space="preserve"> </w:t>
      </w:r>
      <w:r>
        <w:t>produce</w:t>
      </w:r>
      <w:r w:rsidRPr="00F31452">
        <w:t xml:space="preserve"> higher quality </w:t>
      </w:r>
      <w:r>
        <w:t xml:space="preserve">chips </w:t>
      </w:r>
      <w:r w:rsidRPr="00F31452">
        <w:t>for a lower cost.</w:t>
      </w:r>
      <w:r>
        <w:t xml:space="preserve"> These industries, respectively, have collaborated for more than 30 years. We applied the Dynamic Capabilities Framework of “sensing, seizing, and transforming” to assess how leading competitors in the US nuclear, chemical, and semiconductor industries collaborated to mitigate serious technological downside risks. The lessons learned from these three examples can help the Partnership on AI and the AI industry, as well as any industry with a shared sense of fate and with potentially serious risks from technology.    </w:t>
      </w:r>
    </w:p>
    <w:p w14:paraId="1F12EA13" w14:textId="77777777" w:rsidR="00DD4AD1" w:rsidRPr="00611F2E" w:rsidRDefault="00DD4AD1" w:rsidP="00DD4AD1">
      <w:pPr>
        <w:rPr>
          <w:b/>
          <w:bCs/>
        </w:rPr>
      </w:pPr>
      <w:r w:rsidRPr="00611F2E">
        <w:rPr>
          <w:b/>
          <w:bCs/>
        </w:rPr>
        <w:t xml:space="preserve">Dynamic Capabilities Framework </w:t>
      </w:r>
    </w:p>
    <w:p w14:paraId="326CA22B" w14:textId="1C98C27B" w:rsidR="00DD4AD1" w:rsidRPr="001263C7" w:rsidRDefault="00DD4AD1" w:rsidP="00611F2E">
      <w:pPr>
        <w:rPr>
          <w:b/>
        </w:rPr>
      </w:pPr>
      <w:r w:rsidRPr="00941B0B">
        <w:t xml:space="preserve">The </w:t>
      </w:r>
      <w:r>
        <w:t>D</w:t>
      </w:r>
      <w:r w:rsidRPr="00941B0B">
        <w:t xml:space="preserve">ynamic </w:t>
      </w:r>
      <w:r>
        <w:t>C</w:t>
      </w:r>
      <w:r w:rsidRPr="00941B0B">
        <w:t xml:space="preserve">apabilities </w:t>
      </w:r>
      <w:r>
        <w:t>F</w:t>
      </w:r>
      <w:r w:rsidRPr="00941B0B">
        <w:t xml:space="preserve">ramework </w:t>
      </w:r>
      <w:r>
        <w:t xml:space="preserve">(DCF) refers to </w:t>
      </w:r>
      <w:r w:rsidRPr="000D6397">
        <w:t>a</w:t>
      </w:r>
      <w:r>
        <w:t xml:space="preserve"> </w:t>
      </w:r>
      <w:r w:rsidRPr="000D6397">
        <w:t>firm’s ability to integrate, build, and reconfigure competencies to address rapidly changing environments</w:t>
      </w:r>
      <w:r>
        <w:t xml:space="preserve"> (Teece 2007; Teece, Pisano, and </w:t>
      </w:r>
      <w:proofErr w:type="spellStart"/>
      <w:r>
        <w:t>Shuen</w:t>
      </w:r>
      <w:proofErr w:type="spellEnd"/>
      <w:r>
        <w:t xml:space="preserve"> 1997). More precisely, a</w:t>
      </w:r>
      <w:r w:rsidRPr="00941B0B">
        <w:t xml:space="preserve"> firm creates the capabilities it needs to</w:t>
      </w:r>
      <w:r>
        <w:t xml:space="preserve"> respond to external changes</w:t>
      </w:r>
      <w:r w:rsidRPr="00941B0B">
        <w:t xml:space="preserve"> </w:t>
      </w:r>
      <w:r>
        <w:t xml:space="preserve">by </w:t>
      </w:r>
      <w:r w:rsidRPr="00941B0B">
        <w:t>recogniz</w:t>
      </w:r>
      <w:r>
        <w:t>ing</w:t>
      </w:r>
      <w:r w:rsidRPr="00941B0B">
        <w:t xml:space="preserve"> a meaningful pattern of opportunities and threats (the sensing capability), mak</w:t>
      </w:r>
      <w:r>
        <w:t>ing</w:t>
      </w:r>
      <w:r w:rsidRPr="00941B0B">
        <w:t xml:space="preserve"> timely decisions to tackle these opportunities or threats (the seizing capability), and upgrad</w:t>
      </w:r>
      <w:r>
        <w:t>ing</w:t>
      </w:r>
      <w:r w:rsidRPr="00941B0B">
        <w:t xml:space="preserve"> to perform the tasks required to </w:t>
      </w:r>
      <w:r>
        <w:t xml:space="preserve">address </w:t>
      </w:r>
      <w:r w:rsidRPr="00941B0B">
        <w:t>these opportunities and threats (the transforming capability)</w:t>
      </w:r>
      <w:r>
        <w:t xml:space="preserve"> (Barreto 2010)</w:t>
      </w:r>
      <w:r w:rsidRPr="00941B0B">
        <w:t xml:space="preserve">. </w:t>
      </w:r>
      <w:r>
        <w:t>David Teece developed the DCF to target the firm level;</w:t>
      </w:r>
      <w:r w:rsidRPr="000D6397">
        <w:t xml:space="preserve"> </w:t>
      </w:r>
      <w:r>
        <w:t xml:space="preserve">here we apply it to companies trying to create an overarching organization that responds collectively to technological threats. Due to concerns and technological risks that evolve over time, overarching organizations need dynamic capabilities to sense threats, seize the opportunity to </w:t>
      </w:r>
      <w:proofErr w:type="gramStart"/>
      <w:r>
        <w:t>take action</w:t>
      </w:r>
      <w:proofErr w:type="gramEnd"/>
      <w:r>
        <w:t>, and transform so they can continuously take necessary precautions or actions as</w:t>
      </w:r>
      <w:r w:rsidRPr="00941B0B">
        <w:t xml:space="preserve"> new opportunities and threats</w:t>
      </w:r>
      <w:r>
        <w:t xml:space="preserve"> arise. </w:t>
      </w:r>
      <w:r w:rsidRPr="00941B0B">
        <w:t>This three</w:t>
      </w:r>
      <w:r>
        <w:t>-</w:t>
      </w:r>
      <w:r w:rsidRPr="00941B0B">
        <w:t xml:space="preserve">part framework is a useful way to </w:t>
      </w:r>
      <w:r w:rsidRPr="00941B0B">
        <w:rPr>
          <w:rFonts w:eastAsia="MS Mincho"/>
        </w:rPr>
        <w:t>analyse previous examples of industry organization</w:t>
      </w:r>
      <w:r>
        <w:rPr>
          <w:rFonts w:eastAsia="MS Mincho"/>
        </w:rPr>
        <w:t>s</w:t>
      </w:r>
      <w:r w:rsidRPr="00941B0B">
        <w:rPr>
          <w:rFonts w:eastAsia="MS Mincho"/>
        </w:rPr>
        <w:t xml:space="preserve"> and deduce important lessons for new organization</w:t>
      </w:r>
      <w:r>
        <w:rPr>
          <w:rFonts w:eastAsia="MS Mincho"/>
        </w:rPr>
        <w:t>s</w:t>
      </w:r>
      <w:r w:rsidRPr="00941B0B">
        <w:rPr>
          <w:rFonts w:eastAsia="MS Mincho"/>
        </w:rPr>
        <w:t xml:space="preserve"> </w:t>
      </w:r>
      <w:r>
        <w:rPr>
          <w:rFonts w:eastAsia="MS Mincho"/>
        </w:rPr>
        <w:t>like</w:t>
      </w:r>
      <w:r w:rsidRPr="00941B0B">
        <w:rPr>
          <w:rFonts w:eastAsia="MS Mincho"/>
        </w:rPr>
        <w:t xml:space="preserve"> PAI</w:t>
      </w:r>
      <w:r>
        <w:rPr>
          <w:rFonts w:eastAsia="MS Mincho"/>
        </w:rPr>
        <w:t xml:space="preserve"> that</w:t>
      </w:r>
      <w:r w:rsidRPr="00941B0B">
        <w:rPr>
          <w:rFonts w:eastAsia="MS Mincho"/>
        </w:rPr>
        <w:t xml:space="preserve"> aim to collectively </w:t>
      </w:r>
      <w:r>
        <w:rPr>
          <w:rFonts w:eastAsia="MS Mincho"/>
        </w:rPr>
        <w:t xml:space="preserve">raise an industry’s </w:t>
      </w:r>
      <w:r w:rsidRPr="00941B0B">
        <w:rPr>
          <w:rFonts w:eastAsia="MS Mincho"/>
        </w:rPr>
        <w:t xml:space="preserve">environmental and societal standards. </w:t>
      </w:r>
      <w:r>
        <w:rPr>
          <w:rFonts w:eastAsia="MS Mincho"/>
        </w:rPr>
        <w:t xml:space="preserve">We use the Dynamic Capabilities Framework to analyse INPO, the organization formed by the US nuclear industry, Responsible Care, an initiative used by US chemical manufacturers, and SEMATECH, a consortium created by US semiconductor manufacturers </w:t>
      </w:r>
    </w:p>
    <w:p w14:paraId="0C961B93" w14:textId="77777777" w:rsidR="00DD4AD1" w:rsidRPr="00611F2E" w:rsidRDefault="00DD4AD1" w:rsidP="00DD4AD1">
      <w:pPr>
        <w:rPr>
          <w:b/>
          <w:bCs/>
          <w:i/>
          <w:iCs/>
        </w:rPr>
      </w:pPr>
      <w:r w:rsidRPr="00611F2E">
        <w:rPr>
          <w:b/>
          <w:bCs/>
          <w:i/>
          <w:iCs/>
        </w:rPr>
        <w:t>Sensing</w:t>
      </w:r>
    </w:p>
    <w:p w14:paraId="75AC829B" w14:textId="77777777" w:rsidR="00DD4AD1" w:rsidRDefault="00DD4AD1" w:rsidP="00DD4AD1">
      <w:r>
        <w:t>S</w:t>
      </w:r>
      <w:r w:rsidRPr="00941B0B">
        <w:t xml:space="preserve">ensing </w:t>
      </w:r>
      <w:r>
        <w:t>is the first step in building d</w:t>
      </w:r>
      <w:r w:rsidRPr="00941B0B">
        <w:t xml:space="preserve">ynamic </w:t>
      </w:r>
      <w:r>
        <w:t>c</w:t>
      </w:r>
      <w:r w:rsidRPr="00941B0B">
        <w:t>apabilities</w:t>
      </w:r>
      <w:r>
        <w:t>. It entails</w:t>
      </w:r>
      <w:r w:rsidRPr="00941B0B">
        <w:t xml:space="preserve"> recogniz</w:t>
      </w:r>
      <w:r>
        <w:t>ing</w:t>
      </w:r>
      <w:r w:rsidRPr="00941B0B">
        <w:t xml:space="preserve"> a meaningful pattern of opportunities and threats related to </w:t>
      </w:r>
      <w:r>
        <w:t>a</w:t>
      </w:r>
      <w:r w:rsidRPr="00941B0B">
        <w:t xml:space="preserve"> technology.</w:t>
      </w:r>
      <w:r>
        <w:t xml:space="preserve"> INPO, Responsible Care, and SEMATECH realized that </w:t>
      </w:r>
      <w:bookmarkStart w:id="0" w:name="_Hlk26565442"/>
      <w:r>
        <w:t xml:space="preserve">not </w:t>
      </w:r>
      <w:proofErr w:type="gramStart"/>
      <w:r>
        <w:t>all of</w:t>
      </w:r>
      <w:proofErr w:type="gramEnd"/>
      <w:r>
        <w:t xml:space="preserve"> their respective industry members </w:t>
      </w:r>
      <w:bookmarkStart w:id="1" w:name="_Hlk26547693"/>
      <w:r>
        <w:t>perceived the technological threat or recognized the need for collective action</w:t>
      </w:r>
      <w:bookmarkEnd w:id="1"/>
      <w:r>
        <w:t xml:space="preserve"> that warranted their creation. </w:t>
      </w:r>
      <w:bookmarkEnd w:id="0"/>
      <w:r>
        <w:t>They sensed the need to provide industry members with education and training about the technology threat and collaboration, although e</w:t>
      </w:r>
      <w:r w:rsidRPr="00941B0B">
        <w:t>ach industry</w:t>
      </w:r>
      <w:r>
        <w:t xml:space="preserve"> took a different approach.</w:t>
      </w:r>
    </w:p>
    <w:p w14:paraId="761B7AF4" w14:textId="77777777" w:rsidR="00DD4AD1" w:rsidRDefault="00DD4AD1" w:rsidP="00DD4AD1">
      <w:pPr>
        <w:rPr>
          <w:rFonts w:cs="Times New Roman"/>
          <w:sz w:val="24"/>
          <w:szCs w:val="24"/>
        </w:rPr>
      </w:pPr>
    </w:p>
    <w:p w14:paraId="1748CC38" w14:textId="77777777" w:rsidR="00DD4AD1" w:rsidRDefault="00DD4AD1" w:rsidP="00DD4AD1">
      <w:pPr>
        <w:rPr>
          <w:rFonts w:cs="Times New Roman"/>
          <w:sz w:val="24"/>
          <w:szCs w:val="24"/>
        </w:rPr>
      </w:pPr>
      <w:r w:rsidRPr="009B2EBE">
        <w:rPr>
          <w:rFonts w:cs="Times New Roman"/>
          <w:sz w:val="24"/>
          <w:szCs w:val="24"/>
        </w:rPr>
        <w:t>INPO</w:t>
      </w:r>
      <w:r>
        <w:rPr>
          <w:rFonts w:cs="Times New Roman"/>
          <w:sz w:val="24"/>
          <w:szCs w:val="24"/>
        </w:rPr>
        <w:t xml:space="preserve"> began by educating US nuclear plant owners about </w:t>
      </w:r>
      <w:bookmarkStart w:id="2" w:name="_Hlk26544361"/>
      <w:r w:rsidRPr="00937FEF">
        <w:rPr>
          <w:rFonts w:cs="Times New Roman"/>
          <w:sz w:val="24"/>
          <w:szCs w:val="24"/>
        </w:rPr>
        <w:t>the overlap between the public interests in safety</w:t>
      </w:r>
      <w:r>
        <w:rPr>
          <w:rFonts w:cs="Times New Roman"/>
          <w:sz w:val="24"/>
          <w:szCs w:val="24"/>
        </w:rPr>
        <w:t xml:space="preserve"> and </w:t>
      </w:r>
      <w:r w:rsidRPr="00937FEF">
        <w:rPr>
          <w:rFonts w:cs="Times New Roman"/>
          <w:sz w:val="24"/>
          <w:szCs w:val="24"/>
        </w:rPr>
        <w:t>environment</w:t>
      </w:r>
      <w:r>
        <w:rPr>
          <w:rFonts w:cs="Times New Roman"/>
          <w:sz w:val="24"/>
          <w:szCs w:val="24"/>
        </w:rPr>
        <w:t>al</w:t>
      </w:r>
      <w:r w:rsidRPr="00937FEF">
        <w:rPr>
          <w:rFonts w:cs="Times New Roman"/>
          <w:sz w:val="24"/>
          <w:szCs w:val="24"/>
        </w:rPr>
        <w:t xml:space="preserve"> protection and </w:t>
      </w:r>
      <w:r>
        <w:rPr>
          <w:rFonts w:cs="Times New Roman"/>
          <w:sz w:val="24"/>
          <w:szCs w:val="24"/>
        </w:rPr>
        <w:t xml:space="preserve">their </w:t>
      </w:r>
      <w:r w:rsidRPr="00937FEF">
        <w:rPr>
          <w:rFonts w:cs="Times New Roman"/>
          <w:sz w:val="24"/>
          <w:szCs w:val="24"/>
        </w:rPr>
        <w:t>private interest</w:t>
      </w:r>
      <w:bookmarkEnd w:id="2"/>
      <w:r>
        <w:rPr>
          <w:rFonts w:cs="Times New Roman"/>
          <w:sz w:val="24"/>
          <w:szCs w:val="24"/>
        </w:rPr>
        <w:t xml:space="preserve">s. The overlap </w:t>
      </w:r>
      <w:r w:rsidRPr="00937FEF">
        <w:rPr>
          <w:rFonts w:cs="Times New Roman"/>
          <w:sz w:val="24"/>
          <w:szCs w:val="24"/>
        </w:rPr>
        <w:t>was not intuitive</w:t>
      </w:r>
      <w:r>
        <w:rPr>
          <w:rFonts w:cs="Times New Roman"/>
          <w:sz w:val="24"/>
          <w:szCs w:val="24"/>
        </w:rPr>
        <w:t xml:space="preserve"> for all plant owners, and </w:t>
      </w:r>
      <w:r w:rsidRPr="00937FEF">
        <w:rPr>
          <w:rFonts w:cs="Times New Roman"/>
          <w:sz w:val="24"/>
          <w:szCs w:val="24"/>
        </w:rPr>
        <w:t xml:space="preserve">for years environment </w:t>
      </w:r>
      <w:r>
        <w:rPr>
          <w:rFonts w:cs="Times New Roman"/>
          <w:sz w:val="24"/>
          <w:szCs w:val="24"/>
        </w:rPr>
        <w:t xml:space="preserve">nongovernmental organizations </w:t>
      </w:r>
      <w:r w:rsidRPr="00937FEF">
        <w:rPr>
          <w:rFonts w:cs="Times New Roman"/>
          <w:sz w:val="24"/>
          <w:szCs w:val="24"/>
        </w:rPr>
        <w:t>and nuclear plant</w:t>
      </w:r>
      <w:r>
        <w:rPr>
          <w:rFonts w:cs="Times New Roman"/>
          <w:sz w:val="24"/>
          <w:szCs w:val="24"/>
        </w:rPr>
        <w:t xml:space="preserve"> owners</w:t>
      </w:r>
      <w:r w:rsidRPr="00937FEF">
        <w:rPr>
          <w:rFonts w:cs="Times New Roman"/>
          <w:sz w:val="24"/>
          <w:szCs w:val="24"/>
        </w:rPr>
        <w:t xml:space="preserve"> fought vigorously. </w:t>
      </w:r>
      <w:r>
        <w:rPr>
          <w:rFonts w:cs="Times New Roman"/>
          <w:sz w:val="24"/>
          <w:szCs w:val="24"/>
        </w:rPr>
        <w:t>INPO advised</w:t>
      </w:r>
      <w:r w:rsidRPr="009B2EBE">
        <w:rPr>
          <w:rFonts w:cs="Times New Roman"/>
          <w:sz w:val="24"/>
          <w:szCs w:val="24"/>
        </w:rPr>
        <w:t xml:space="preserve"> industry counterparts </w:t>
      </w:r>
      <w:r>
        <w:rPr>
          <w:rFonts w:cs="Times New Roman"/>
          <w:sz w:val="24"/>
          <w:szCs w:val="24"/>
        </w:rPr>
        <w:t xml:space="preserve">about </w:t>
      </w:r>
      <w:r w:rsidRPr="009B2EBE">
        <w:rPr>
          <w:rFonts w:cs="Times New Roman"/>
          <w:sz w:val="24"/>
          <w:szCs w:val="24"/>
        </w:rPr>
        <w:t>how developing safety technology fostered a positive public image</w:t>
      </w:r>
      <w:r>
        <w:rPr>
          <w:rFonts w:cs="Times New Roman"/>
          <w:sz w:val="24"/>
          <w:szCs w:val="24"/>
        </w:rPr>
        <w:t xml:space="preserve">, while </w:t>
      </w:r>
      <w:r w:rsidRPr="009B2EBE">
        <w:rPr>
          <w:rFonts w:cs="Times New Roman"/>
          <w:sz w:val="24"/>
          <w:szCs w:val="24"/>
        </w:rPr>
        <w:t xml:space="preserve">poor environmental records visible to the public </w:t>
      </w:r>
      <w:r>
        <w:rPr>
          <w:rFonts w:cs="Times New Roman"/>
          <w:sz w:val="24"/>
          <w:szCs w:val="24"/>
        </w:rPr>
        <w:t>were</w:t>
      </w:r>
      <w:r w:rsidRPr="009B2EBE">
        <w:rPr>
          <w:rFonts w:cs="Times New Roman"/>
          <w:sz w:val="24"/>
          <w:szCs w:val="24"/>
        </w:rPr>
        <w:t xml:space="preserve"> damaging. </w:t>
      </w:r>
      <w:r>
        <w:rPr>
          <w:rFonts w:cs="Times New Roman"/>
          <w:sz w:val="24"/>
          <w:szCs w:val="24"/>
        </w:rPr>
        <w:t>INPO also emphasized</w:t>
      </w:r>
      <w:r w:rsidRPr="009B2EBE">
        <w:rPr>
          <w:rFonts w:cs="Times New Roman"/>
          <w:sz w:val="24"/>
          <w:szCs w:val="24"/>
        </w:rPr>
        <w:t xml:space="preserve"> the importance of maintaining good employee relations</w:t>
      </w:r>
      <w:r>
        <w:rPr>
          <w:rFonts w:cs="Times New Roman"/>
          <w:sz w:val="24"/>
          <w:szCs w:val="24"/>
        </w:rPr>
        <w:t>:</w:t>
      </w:r>
      <w:r w:rsidRPr="009B2EBE">
        <w:rPr>
          <w:rFonts w:cs="Times New Roman"/>
          <w:sz w:val="24"/>
          <w:szCs w:val="24"/>
        </w:rPr>
        <w:t xml:space="preserve"> poor behavior by the company could lead to employee turnover</w:t>
      </w:r>
      <w:r>
        <w:rPr>
          <w:rFonts w:cs="Times New Roman"/>
          <w:sz w:val="24"/>
          <w:szCs w:val="24"/>
        </w:rPr>
        <w:t>,</w:t>
      </w:r>
      <w:r w:rsidRPr="009B2EBE">
        <w:rPr>
          <w:rFonts w:cs="Times New Roman"/>
          <w:sz w:val="24"/>
          <w:szCs w:val="24"/>
        </w:rPr>
        <w:t xml:space="preserve"> whistleblowers publicly reporting internal problems, </w:t>
      </w:r>
      <w:r>
        <w:rPr>
          <w:rFonts w:cs="Times New Roman"/>
          <w:sz w:val="24"/>
          <w:szCs w:val="24"/>
        </w:rPr>
        <w:t xml:space="preserve">and difficulties </w:t>
      </w:r>
      <w:r w:rsidRPr="009B2EBE">
        <w:rPr>
          <w:rFonts w:cs="Times New Roman"/>
          <w:sz w:val="24"/>
          <w:szCs w:val="24"/>
        </w:rPr>
        <w:t>hir</w:t>
      </w:r>
      <w:r>
        <w:rPr>
          <w:rFonts w:cs="Times New Roman"/>
          <w:sz w:val="24"/>
          <w:szCs w:val="24"/>
        </w:rPr>
        <w:t>ing</w:t>
      </w:r>
      <w:r w:rsidRPr="009B2EBE">
        <w:rPr>
          <w:rFonts w:cs="Times New Roman"/>
          <w:sz w:val="24"/>
          <w:szCs w:val="24"/>
        </w:rPr>
        <w:t xml:space="preserve"> future talent. A third initiative was to forestall government regulation</w:t>
      </w:r>
      <w:r>
        <w:rPr>
          <w:rFonts w:cs="Times New Roman"/>
          <w:sz w:val="24"/>
          <w:szCs w:val="24"/>
        </w:rPr>
        <w:t xml:space="preserve"> by committing </w:t>
      </w:r>
      <w:r>
        <w:rPr>
          <w:rFonts w:cs="Times New Roman"/>
          <w:sz w:val="24"/>
          <w:szCs w:val="24"/>
        </w:rPr>
        <w:lastRenderedPageBreak/>
        <w:t xml:space="preserve">themselves to </w:t>
      </w:r>
      <w:r>
        <w:t>the highest levels of safety and reliability</w:t>
      </w:r>
      <w:r w:rsidRPr="009B2EBE">
        <w:rPr>
          <w:rFonts w:cs="Times New Roman"/>
          <w:sz w:val="24"/>
          <w:szCs w:val="24"/>
        </w:rPr>
        <w:t>, since the government could shut down plants it considered unsafe</w:t>
      </w:r>
      <w:r>
        <w:rPr>
          <w:rFonts w:cs="Times New Roman"/>
          <w:sz w:val="24"/>
          <w:szCs w:val="24"/>
        </w:rPr>
        <w:t xml:space="preserve">. </w:t>
      </w:r>
    </w:p>
    <w:p w14:paraId="5ECF3145" w14:textId="77777777" w:rsidR="00DD4AD1" w:rsidRPr="00A32277" w:rsidRDefault="00DD4AD1" w:rsidP="00DD4AD1">
      <w:pPr>
        <w:rPr>
          <w:rFonts w:cs="Times New Roman"/>
          <w:sz w:val="24"/>
          <w:szCs w:val="24"/>
        </w:rPr>
      </w:pPr>
      <w:r>
        <w:rPr>
          <w:rFonts w:cs="Times New Roman"/>
          <w:sz w:val="24"/>
          <w:szCs w:val="24"/>
        </w:rPr>
        <w:t xml:space="preserve">Simultaneously, INPO used the </w:t>
      </w:r>
      <w:r w:rsidRPr="00937FEF">
        <w:rPr>
          <w:rFonts w:cs="Times New Roman"/>
          <w:sz w:val="24"/>
          <w:szCs w:val="24"/>
        </w:rPr>
        <w:t xml:space="preserve">worst nuclear power accident in </w:t>
      </w:r>
      <w:r>
        <w:rPr>
          <w:rFonts w:cs="Times New Roman"/>
          <w:sz w:val="24"/>
          <w:szCs w:val="24"/>
        </w:rPr>
        <w:t>American</w:t>
      </w:r>
      <w:r w:rsidRPr="00937FEF">
        <w:rPr>
          <w:rFonts w:cs="Times New Roman"/>
          <w:sz w:val="24"/>
          <w:szCs w:val="24"/>
        </w:rPr>
        <w:t xml:space="preserve"> history</w:t>
      </w:r>
      <w:r>
        <w:rPr>
          <w:rFonts w:cs="Times New Roman"/>
          <w:sz w:val="24"/>
          <w:szCs w:val="24"/>
        </w:rPr>
        <w:t xml:space="preserve"> </w:t>
      </w:r>
      <w:r w:rsidRPr="00A32277">
        <w:rPr>
          <w:rFonts w:cs="Times New Roman"/>
          <w:sz w:val="24"/>
          <w:szCs w:val="24"/>
        </w:rPr>
        <w:t>at the Three Mil</w:t>
      </w:r>
      <w:r>
        <w:rPr>
          <w:rFonts w:cs="Times New Roman"/>
          <w:sz w:val="24"/>
          <w:szCs w:val="24"/>
        </w:rPr>
        <w:t>e</w:t>
      </w:r>
      <w:r w:rsidRPr="00A32277">
        <w:rPr>
          <w:rFonts w:cs="Times New Roman"/>
          <w:sz w:val="24"/>
          <w:szCs w:val="24"/>
        </w:rPr>
        <w:t xml:space="preserve"> Island in 1979</w:t>
      </w:r>
      <w:r>
        <w:rPr>
          <w:rFonts w:cs="Times New Roman"/>
          <w:sz w:val="24"/>
          <w:szCs w:val="24"/>
        </w:rPr>
        <w:t xml:space="preserve"> as an example to make plant owners realize that </w:t>
      </w:r>
      <w:r w:rsidRPr="00A32277">
        <w:rPr>
          <w:rFonts w:cs="Times New Roman"/>
          <w:sz w:val="24"/>
          <w:szCs w:val="24"/>
        </w:rPr>
        <w:t xml:space="preserve">actions </w:t>
      </w:r>
      <w:r>
        <w:rPr>
          <w:rFonts w:cs="Times New Roman"/>
          <w:sz w:val="24"/>
          <w:szCs w:val="24"/>
        </w:rPr>
        <w:t>by</w:t>
      </w:r>
      <w:r w:rsidRPr="00A32277">
        <w:rPr>
          <w:rFonts w:cs="Times New Roman"/>
          <w:sz w:val="24"/>
          <w:szCs w:val="24"/>
        </w:rPr>
        <w:t xml:space="preserve"> one company could tarnish the </w:t>
      </w:r>
      <w:r>
        <w:rPr>
          <w:rFonts w:cs="Times New Roman"/>
          <w:sz w:val="24"/>
          <w:szCs w:val="24"/>
        </w:rPr>
        <w:t xml:space="preserve">entire </w:t>
      </w:r>
      <w:r w:rsidRPr="00A32277">
        <w:rPr>
          <w:rFonts w:cs="Times New Roman"/>
          <w:sz w:val="24"/>
          <w:szCs w:val="24"/>
        </w:rPr>
        <w:t>industry at the public</w:t>
      </w:r>
      <w:r>
        <w:rPr>
          <w:rFonts w:cs="Times New Roman"/>
          <w:sz w:val="24"/>
          <w:szCs w:val="24"/>
        </w:rPr>
        <w:t>, business, and</w:t>
      </w:r>
      <w:r w:rsidRPr="00A32277">
        <w:rPr>
          <w:rFonts w:cs="Times New Roman"/>
          <w:sz w:val="24"/>
          <w:szCs w:val="24"/>
        </w:rPr>
        <w:t xml:space="preserve"> government level</w:t>
      </w:r>
      <w:r>
        <w:rPr>
          <w:rFonts w:cs="Times New Roman"/>
          <w:sz w:val="24"/>
          <w:szCs w:val="24"/>
        </w:rPr>
        <w:t>s</w:t>
      </w:r>
      <w:r w:rsidRPr="00A32277">
        <w:rPr>
          <w:rFonts w:cs="Times New Roman"/>
          <w:sz w:val="24"/>
          <w:szCs w:val="24"/>
        </w:rPr>
        <w:t>. It was not enough for each firm to be conscious and improve its own behavior</w:t>
      </w:r>
      <w:r>
        <w:rPr>
          <w:rFonts w:cs="Times New Roman"/>
          <w:sz w:val="24"/>
          <w:szCs w:val="24"/>
        </w:rPr>
        <w:t xml:space="preserve">—watching all plant owners’ behavior </w:t>
      </w:r>
      <w:r w:rsidRPr="00A32277">
        <w:rPr>
          <w:rFonts w:cs="Times New Roman"/>
          <w:sz w:val="24"/>
          <w:szCs w:val="24"/>
        </w:rPr>
        <w:t xml:space="preserve">was mandatory. INPO aimed to make each plant </w:t>
      </w:r>
      <w:r>
        <w:rPr>
          <w:rFonts w:cs="Times New Roman"/>
          <w:sz w:val="24"/>
          <w:szCs w:val="24"/>
        </w:rPr>
        <w:t xml:space="preserve">owner </w:t>
      </w:r>
      <w:r w:rsidRPr="00A32277">
        <w:rPr>
          <w:rFonts w:cs="Times New Roman"/>
          <w:sz w:val="24"/>
          <w:szCs w:val="24"/>
        </w:rPr>
        <w:t>aware of the “</w:t>
      </w:r>
      <w:r>
        <w:rPr>
          <w:rFonts w:cs="Times New Roman"/>
          <w:sz w:val="24"/>
          <w:szCs w:val="24"/>
        </w:rPr>
        <w:t>c</w:t>
      </w:r>
      <w:r w:rsidRPr="00A32277">
        <w:rPr>
          <w:rFonts w:cs="Times New Roman"/>
          <w:sz w:val="24"/>
          <w:szCs w:val="24"/>
        </w:rPr>
        <w:t xml:space="preserve">ommunity of </w:t>
      </w:r>
      <w:r>
        <w:rPr>
          <w:rFonts w:cs="Times New Roman"/>
          <w:sz w:val="24"/>
          <w:szCs w:val="24"/>
        </w:rPr>
        <w:t>s</w:t>
      </w:r>
      <w:r w:rsidRPr="00A32277">
        <w:rPr>
          <w:rFonts w:cs="Times New Roman"/>
          <w:sz w:val="24"/>
          <w:szCs w:val="24"/>
        </w:rPr>
        <w:t xml:space="preserve">hared </w:t>
      </w:r>
      <w:r>
        <w:rPr>
          <w:rFonts w:cs="Times New Roman"/>
          <w:sz w:val="24"/>
          <w:szCs w:val="24"/>
        </w:rPr>
        <w:t>f</w:t>
      </w:r>
      <w:r w:rsidRPr="00A32277">
        <w:rPr>
          <w:rFonts w:cs="Times New Roman"/>
          <w:sz w:val="24"/>
          <w:szCs w:val="24"/>
        </w:rPr>
        <w:t>ate</w:t>
      </w:r>
      <w:r>
        <w:rPr>
          <w:rFonts w:cs="Times New Roman"/>
          <w:sz w:val="24"/>
          <w:szCs w:val="24"/>
        </w:rPr>
        <w:t>,</w:t>
      </w:r>
      <w:r w:rsidRPr="00A32277">
        <w:rPr>
          <w:rFonts w:cs="Times New Roman"/>
          <w:sz w:val="24"/>
          <w:szCs w:val="24"/>
        </w:rPr>
        <w:t>”</w:t>
      </w:r>
      <w:r>
        <w:rPr>
          <w:rFonts w:cs="Times New Roman"/>
          <w:sz w:val="24"/>
          <w:szCs w:val="24"/>
        </w:rPr>
        <w:t xml:space="preserve"> which</w:t>
      </w:r>
      <w:r w:rsidRPr="00A32277">
        <w:rPr>
          <w:rFonts w:cs="Times New Roman"/>
          <w:sz w:val="24"/>
          <w:szCs w:val="24"/>
        </w:rPr>
        <w:t xml:space="preserve"> increased </w:t>
      </w:r>
      <w:r>
        <w:rPr>
          <w:rFonts w:cs="Times New Roman"/>
          <w:sz w:val="24"/>
          <w:szCs w:val="24"/>
        </w:rPr>
        <w:t>each member’s</w:t>
      </w:r>
      <w:r w:rsidRPr="00A32277">
        <w:rPr>
          <w:rFonts w:cs="Times New Roman"/>
          <w:sz w:val="24"/>
          <w:szCs w:val="24"/>
        </w:rPr>
        <w:t xml:space="preserve"> involvement </w:t>
      </w:r>
      <w:r>
        <w:rPr>
          <w:rFonts w:cs="Times New Roman"/>
          <w:sz w:val="24"/>
          <w:szCs w:val="24"/>
        </w:rPr>
        <w:t xml:space="preserve">and motivated them to keep watch over competitors’ actions. Given the </w:t>
      </w:r>
      <w:r w:rsidRPr="00A32277">
        <w:rPr>
          <w:rFonts w:cs="Times New Roman"/>
          <w:sz w:val="24"/>
          <w:szCs w:val="24"/>
        </w:rPr>
        <w:t>small number of large players</w:t>
      </w:r>
      <w:r>
        <w:rPr>
          <w:rFonts w:cs="Times New Roman"/>
          <w:sz w:val="24"/>
          <w:szCs w:val="24"/>
        </w:rPr>
        <w:t xml:space="preserve"> in the US nuclear industry, the watchdog </w:t>
      </w:r>
      <w:r w:rsidRPr="00A32277">
        <w:rPr>
          <w:rFonts w:cs="Times New Roman"/>
          <w:sz w:val="24"/>
          <w:szCs w:val="24"/>
        </w:rPr>
        <w:t xml:space="preserve">mentality </w:t>
      </w:r>
      <w:r>
        <w:rPr>
          <w:rFonts w:cs="Times New Roman"/>
          <w:sz w:val="24"/>
          <w:szCs w:val="24"/>
        </w:rPr>
        <w:t>proved</w:t>
      </w:r>
      <w:r w:rsidRPr="00A32277">
        <w:rPr>
          <w:rFonts w:cs="Times New Roman"/>
          <w:sz w:val="24"/>
          <w:szCs w:val="24"/>
        </w:rPr>
        <w:t xml:space="preserve"> effective. </w:t>
      </w:r>
    </w:p>
    <w:p w14:paraId="4DA2155C" w14:textId="77777777" w:rsidR="00DD4AD1" w:rsidRPr="00A53462" w:rsidRDefault="00DD4AD1" w:rsidP="00DD4AD1">
      <w:pPr>
        <w:rPr>
          <w:rFonts w:cs="Times New Roman"/>
        </w:rPr>
      </w:pPr>
      <w:r>
        <w:rPr>
          <w:rFonts w:cs="Times New Roman"/>
          <w:sz w:val="24"/>
          <w:szCs w:val="24"/>
        </w:rPr>
        <w:t xml:space="preserve">US chemical manufacturers implemented </w:t>
      </w:r>
      <w:r w:rsidRPr="009B2EBE">
        <w:rPr>
          <w:rFonts w:cs="Times New Roman"/>
          <w:sz w:val="24"/>
          <w:szCs w:val="24"/>
        </w:rPr>
        <w:t xml:space="preserve">Responsible Care </w:t>
      </w:r>
      <w:r>
        <w:rPr>
          <w:rFonts w:cs="Times New Roman"/>
          <w:sz w:val="24"/>
          <w:szCs w:val="24"/>
        </w:rPr>
        <w:t>because they knew the threat of technology was impacting them negatively. T</w:t>
      </w:r>
      <w:r w:rsidRPr="00937FEF">
        <w:rPr>
          <w:rFonts w:cs="Times New Roman"/>
          <w:sz w:val="24"/>
          <w:szCs w:val="24"/>
        </w:rPr>
        <w:t xml:space="preserve">heir image shifted from miracle provider of scientific products enhancing </w:t>
      </w:r>
      <w:r>
        <w:rPr>
          <w:rFonts w:cs="Times New Roman"/>
          <w:sz w:val="24"/>
          <w:szCs w:val="24"/>
        </w:rPr>
        <w:t>society’s</w:t>
      </w:r>
      <w:r w:rsidRPr="00937FEF">
        <w:rPr>
          <w:rFonts w:cs="Times New Roman"/>
          <w:sz w:val="24"/>
          <w:szCs w:val="24"/>
        </w:rPr>
        <w:t xml:space="preserve"> well-being </w:t>
      </w:r>
      <w:r>
        <w:rPr>
          <w:rFonts w:cs="Times New Roman"/>
          <w:sz w:val="24"/>
          <w:szCs w:val="24"/>
        </w:rPr>
        <w:t>to</w:t>
      </w:r>
      <w:r w:rsidRPr="00937FEF">
        <w:rPr>
          <w:rFonts w:cs="Times New Roman"/>
          <w:sz w:val="24"/>
          <w:szCs w:val="24"/>
        </w:rPr>
        <w:t xml:space="preserve"> a </w:t>
      </w:r>
      <w:r>
        <w:rPr>
          <w:rFonts w:cs="Times New Roman"/>
          <w:sz w:val="24"/>
          <w:szCs w:val="24"/>
        </w:rPr>
        <w:t xml:space="preserve">societal </w:t>
      </w:r>
      <w:r w:rsidRPr="00937FEF">
        <w:rPr>
          <w:rFonts w:cs="Times New Roman"/>
          <w:sz w:val="24"/>
          <w:szCs w:val="24"/>
        </w:rPr>
        <w:t xml:space="preserve">danger. </w:t>
      </w:r>
      <w:r>
        <w:rPr>
          <w:rFonts w:cs="Times New Roman"/>
          <w:sz w:val="24"/>
          <w:szCs w:val="24"/>
        </w:rPr>
        <w:t>T</w:t>
      </w:r>
      <w:r w:rsidRPr="00937FEF">
        <w:rPr>
          <w:rFonts w:cs="Times New Roman"/>
          <w:sz w:val="24"/>
          <w:szCs w:val="24"/>
        </w:rPr>
        <w:t xml:space="preserve">his distrust </w:t>
      </w:r>
      <w:r>
        <w:rPr>
          <w:rFonts w:cs="Times New Roman"/>
          <w:sz w:val="24"/>
          <w:szCs w:val="24"/>
        </w:rPr>
        <w:t>arose</w:t>
      </w:r>
      <w:r w:rsidRPr="00937FEF">
        <w:rPr>
          <w:rFonts w:cs="Times New Roman"/>
          <w:sz w:val="24"/>
          <w:szCs w:val="24"/>
        </w:rPr>
        <w:t xml:space="preserve"> </w:t>
      </w:r>
      <w:r>
        <w:rPr>
          <w:rFonts w:cs="Times New Roman"/>
          <w:sz w:val="24"/>
          <w:szCs w:val="24"/>
        </w:rPr>
        <w:t>due to</w:t>
      </w:r>
      <w:r w:rsidRPr="00937FEF">
        <w:rPr>
          <w:rFonts w:cs="Times New Roman"/>
          <w:sz w:val="24"/>
          <w:szCs w:val="24"/>
        </w:rPr>
        <w:t xml:space="preserve"> </w:t>
      </w:r>
      <w:r>
        <w:rPr>
          <w:rFonts w:cs="Times New Roman"/>
          <w:sz w:val="24"/>
          <w:szCs w:val="24"/>
        </w:rPr>
        <w:t>adverse publicity and the tragedy from incidents like Union Carbide’s</w:t>
      </w:r>
      <w:r w:rsidRPr="00937FEF">
        <w:rPr>
          <w:rFonts w:cs="Times New Roman"/>
          <w:sz w:val="24"/>
          <w:szCs w:val="24"/>
        </w:rPr>
        <w:t xml:space="preserve"> </w:t>
      </w:r>
      <w:r>
        <w:rPr>
          <w:rFonts w:cs="Times New Roman"/>
          <w:sz w:val="24"/>
          <w:szCs w:val="24"/>
        </w:rPr>
        <w:t xml:space="preserve">1984 </w:t>
      </w:r>
      <w:r w:rsidRPr="00937FEF">
        <w:rPr>
          <w:rFonts w:cs="Times New Roman"/>
          <w:sz w:val="24"/>
          <w:szCs w:val="24"/>
        </w:rPr>
        <w:t xml:space="preserve">Bhopal disaster, which killed </w:t>
      </w:r>
      <w:r>
        <w:rPr>
          <w:rFonts w:cs="Times New Roman"/>
          <w:sz w:val="24"/>
          <w:szCs w:val="24"/>
        </w:rPr>
        <w:t>more than</w:t>
      </w:r>
      <w:r w:rsidRPr="00937FEF">
        <w:rPr>
          <w:rFonts w:cs="Times New Roman"/>
          <w:sz w:val="24"/>
          <w:szCs w:val="24"/>
        </w:rPr>
        <w:t xml:space="preserve"> 4,000 people and injured hundreds of thousands. One opinion poll conducted in the US in 1990 found that the chemical industry's rating of public acceptability had dropped to 25 percent</w:t>
      </w:r>
      <w:r>
        <w:rPr>
          <w:rFonts w:cs="Times New Roman"/>
          <w:sz w:val="24"/>
          <w:szCs w:val="24"/>
        </w:rPr>
        <w:t>—</w:t>
      </w:r>
      <w:r w:rsidRPr="00937FEF">
        <w:rPr>
          <w:rFonts w:cs="Times New Roman"/>
          <w:sz w:val="24"/>
          <w:szCs w:val="24"/>
        </w:rPr>
        <w:t>only the tobacco industry had a lower rating</w:t>
      </w:r>
      <w:r>
        <w:rPr>
          <w:rFonts w:cs="Times New Roman"/>
          <w:sz w:val="24"/>
          <w:szCs w:val="24"/>
        </w:rPr>
        <w:t xml:space="preserve"> </w:t>
      </w:r>
      <w:r w:rsidRPr="009A5D4C">
        <w:rPr>
          <w:rFonts w:cs="Times New Roman"/>
          <w:sz w:val="24"/>
          <w:szCs w:val="24"/>
        </w:rPr>
        <w:t>(</w:t>
      </w:r>
      <w:proofErr w:type="spellStart"/>
      <w:r w:rsidRPr="009A5D4C">
        <w:rPr>
          <w:sz w:val="24"/>
          <w:szCs w:val="24"/>
        </w:rPr>
        <w:t>Gunningham</w:t>
      </w:r>
      <w:proofErr w:type="spellEnd"/>
      <w:r w:rsidRPr="009A5D4C">
        <w:rPr>
          <w:sz w:val="24"/>
          <w:szCs w:val="24"/>
        </w:rPr>
        <w:t xml:space="preserve"> 1995)</w:t>
      </w:r>
      <w:r w:rsidRPr="009A5D4C">
        <w:rPr>
          <w:rFonts w:cs="Times New Roman"/>
          <w:sz w:val="24"/>
          <w:szCs w:val="24"/>
        </w:rPr>
        <w:t xml:space="preserve">. </w:t>
      </w:r>
      <w:r>
        <w:rPr>
          <w:rFonts w:cs="Times New Roman"/>
          <w:sz w:val="24"/>
          <w:szCs w:val="24"/>
        </w:rPr>
        <w:t>T</w:t>
      </w:r>
      <w:r w:rsidRPr="009B2EBE">
        <w:rPr>
          <w:rFonts w:cs="Times New Roman"/>
          <w:sz w:val="24"/>
          <w:szCs w:val="24"/>
        </w:rPr>
        <w:t>he accident in India</w:t>
      </w:r>
      <w:r>
        <w:rPr>
          <w:rFonts w:cs="Times New Roman"/>
          <w:sz w:val="24"/>
          <w:szCs w:val="24"/>
        </w:rPr>
        <w:t xml:space="preserve"> had also confirmed </w:t>
      </w:r>
      <w:r w:rsidRPr="009B2EBE">
        <w:rPr>
          <w:rFonts w:cs="Times New Roman"/>
          <w:sz w:val="24"/>
          <w:szCs w:val="24"/>
        </w:rPr>
        <w:t xml:space="preserve">that one </w:t>
      </w:r>
      <w:r>
        <w:rPr>
          <w:rFonts w:cs="Times New Roman"/>
          <w:sz w:val="24"/>
          <w:szCs w:val="24"/>
        </w:rPr>
        <w:t xml:space="preserve">company’s </w:t>
      </w:r>
      <w:r w:rsidRPr="00A32277">
        <w:rPr>
          <w:rFonts w:cs="Times New Roman"/>
          <w:sz w:val="24"/>
          <w:szCs w:val="24"/>
        </w:rPr>
        <w:t xml:space="preserve">action </w:t>
      </w:r>
      <w:r w:rsidRPr="009B2EBE">
        <w:rPr>
          <w:rFonts w:cs="Times New Roman"/>
          <w:sz w:val="24"/>
          <w:szCs w:val="24"/>
        </w:rPr>
        <w:t>anywhere in the world</w:t>
      </w:r>
      <w:r w:rsidRPr="00A32277">
        <w:rPr>
          <w:rFonts w:cs="Times New Roman"/>
          <w:sz w:val="24"/>
          <w:szCs w:val="24"/>
        </w:rPr>
        <w:t xml:space="preserve"> could tarnish the </w:t>
      </w:r>
      <w:r>
        <w:rPr>
          <w:rFonts w:cs="Times New Roman"/>
          <w:sz w:val="24"/>
          <w:szCs w:val="24"/>
        </w:rPr>
        <w:t xml:space="preserve">entire </w:t>
      </w:r>
      <w:r w:rsidRPr="00A32277">
        <w:rPr>
          <w:rFonts w:cs="Times New Roman"/>
          <w:sz w:val="24"/>
          <w:szCs w:val="24"/>
        </w:rPr>
        <w:t>industry</w:t>
      </w:r>
      <w:r w:rsidRPr="009B2EBE">
        <w:rPr>
          <w:rFonts w:cs="Times New Roman"/>
          <w:sz w:val="24"/>
          <w:szCs w:val="24"/>
        </w:rPr>
        <w:t xml:space="preserve">. </w:t>
      </w:r>
      <w:r>
        <w:rPr>
          <w:rFonts w:cs="Times New Roman"/>
          <w:sz w:val="24"/>
          <w:szCs w:val="24"/>
        </w:rPr>
        <w:t>Industry participants issued a high-level official statement of policy through Responsible Care</w:t>
      </w:r>
      <w:r w:rsidRPr="009B2EBE">
        <w:rPr>
          <w:rFonts w:cs="Times New Roman"/>
          <w:sz w:val="24"/>
          <w:szCs w:val="24"/>
        </w:rPr>
        <w:t xml:space="preserve"> that </w:t>
      </w:r>
      <w:r>
        <w:rPr>
          <w:rFonts w:cs="Times New Roman"/>
          <w:sz w:val="24"/>
          <w:szCs w:val="24"/>
        </w:rPr>
        <w:t xml:space="preserve">they hoped </w:t>
      </w:r>
      <w:r w:rsidRPr="009B2EBE">
        <w:rPr>
          <w:rFonts w:cs="Times New Roman"/>
          <w:sz w:val="24"/>
          <w:szCs w:val="24"/>
        </w:rPr>
        <w:t xml:space="preserve">all members </w:t>
      </w:r>
      <w:r>
        <w:rPr>
          <w:rFonts w:cs="Times New Roman"/>
          <w:sz w:val="24"/>
          <w:szCs w:val="24"/>
        </w:rPr>
        <w:t>w</w:t>
      </w:r>
      <w:r w:rsidRPr="009B2EBE">
        <w:rPr>
          <w:rFonts w:cs="Times New Roman"/>
          <w:sz w:val="24"/>
          <w:szCs w:val="24"/>
        </w:rPr>
        <w:t>ould commit to</w:t>
      </w:r>
      <w:r w:rsidRPr="00937FEF">
        <w:rPr>
          <w:rFonts w:cs="Times New Roman"/>
          <w:sz w:val="24"/>
          <w:szCs w:val="24"/>
        </w:rPr>
        <w:t xml:space="preserve">. </w:t>
      </w:r>
      <w:r>
        <w:rPr>
          <w:rFonts w:cs="Times New Roman"/>
          <w:sz w:val="24"/>
          <w:szCs w:val="24"/>
        </w:rPr>
        <w:t>Unfortunately</w:t>
      </w:r>
      <w:r w:rsidRPr="00937FEF">
        <w:rPr>
          <w:rFonts w:cs="Times New Roman"/>
          <w:sz w:val="24"/>
          <w:szCs w:val="24"/>
        </w:rPr>
        <w:t>,</w:t>
      </w:r>
      <w:r w:rsidRPr="009B2EBE">
        <w:rPr>
          <w:rFonts w:cs="Times New Roman"/>
          <w:sz w:val="24"/>
          <w:szCs w:val="24"/>
        </w:rPr>
        <w:t xml:space="preserve"> </w:t>
      </w:r>
      <w:r w:rsidRPr="00937FEF">
        <w:rPr>
          <w:rFonts w:cs="Times New Roman"/>
          <w:sz w:val="24"/>
          <w:szCs w:val="24"/>
        </w:rPr>
        <w:t xml:space="preserve">having </w:t>
      </w:r>
      <w:r>
        <w:rPr>
          <w:rFonts w:cs="Times New Roman"/>
          <w:sz w:val="24"/>
          <w:szCs w:val="24"/>
        </w:rPr>
        <w:t xml:space="preserve">the </w:t>
      </w:r>
      <w:r w:rsidRPr="00937FEF">
        <w:rPr>
          <w:rFonts w:cs="Times New Roman"/>
          <w:sz w:val="24"/>
          <w:szCs w:val="24"/>
        </w:rPr>
        <w:t xml:space="preserve">chemical companies commit </w:t>
      </w:r>
      <w:r>
        <w:rPr>
          <w:rFonts w:cs="Times New Roman"/>
          <w:sz w:val="24"/>
          <w:szCs w:val="24"/>
        </w:rPr>
        <w:t>to</w:t>
      </w:r>
      <w:r w:rsidRPr="00937FEF">
        <w:rPr>
          <w:rFonts w:cs="Times New Roman"/>
          <w:sz w:val="24"/>
          <w:szCs w:val="24"/>
        </w:rPr>
        <w:t xml:space="preserve"> a statement of policy was not </w:t>
      </w:r>
      <w:r>
        <w:rPr>
          <w:rFonts w:cs="Times New Roman"/>
          <w:sz w:val="24"/>
          <w:szCs w:val="24"/>
        </w:rPr>
        <w:t>sufficient to raise the industry’s credibility</w:t>
      </w:r>
      <w:r w:rsidRPr="00937FEF">
        <w:rPr>
          <w:rFonts w:cs="Times New Roman"/>
          <w:sz w:val="24"/>
          <w:szCs w:val="24"/>
        </w:rPr>
        <w:t xml:space="preserve"> </w:t>
      </w:r>
      <w:r>
        <w:rPr>
          <w:rFonts w:cs="Times New Roman"/>
          <w:sz w:val="24"/>
          <w:szCs w:val="24"/>
        </w:rPr>
        <w:t>or re</w:t>
      </w:r>
      <w:r w:rsidRPr="00937FEF">
        <w:rPr>
          <w:rFonts w:cs="Times New Roman"/>
          <w:sz w:val="24"/>
          <w:szCs w:val="24"/>
        </w:rPr>
        <w:t xml:space="preserve">gain </w:t>
      </w:r>
      <w:r>
        <w:rPr>
          <w:rFonts w:cs="Times New Roman"/>
          <w:sz w:val="24"/>
          <w:szCs w:val="24"/>
        </w:rPr>
        <w:t>society’s trust</w:t>
      </w:r>
      <w:r w:rsidRPr="00937FEF">
        <w:rPr>
          <w:rFonts w:cs="Times New Roman"/>
          <w:sz w:val="24"/>
          <w:szCs w:val="24"/>
        </w:rPr>
        <w:t>. After some reflection, Responsible Care realize</w:t>
      </w:r>
      <w:r>
        <w:rPr>
          <w:rFonts w:cs="Times New Roman"/>
          <w:sz w:val="24"/>
          <w:szCs w:val="24"/>
        </w:rPr>
        <w:t>d</w:t>
      </w:r>
      <w:r w:rsidRPr="00937FEF">
        <w:rPr>
          <w:rFonts w:cs="Times New Roman"/>
          <w:sz w:val="24"/>
          <w:szCs w:val="24"/>
        </w:rPr>
        <w:t xml:space="preserve"> that </w:t>
      </w:r>
      <w:r w:rsidRPr="009B2EBE">
        <w:rPr>
          <w:rFonts w:cs="Times New Roman"/>
          <w:sz w:val="24"/>
          <w:szCs w:val="24"/>
        </w:rPr>
        <w:t>its</w:t>
      </w:r>
      <w:r w:rsidRPr="00937FEF">
        <w:rPr>
          <w:rFonts w:cs="Times New Roman"/>
          <w:sz w:val="24"/>
          <w:szCs w:val="24"/>
        </w:rPr>
        <w:t xml:space="preserve"> value-added was to have industry members </w:t>
      </w:r>
      <w:r>
        <w:rPr>
          <w:rFonts w:cs="Times New Roman"/>
          <w:sz w:val="24"/>
          <w:szCs w:val="24"/>
        </w:rPr>
        <w:t>that</w:t>
      </w:r>
      <w:r w:rsidRPr="00937FEF">
        <w:rPr>
          <w:rFonts w:cs="Times New Roman"/>
          <w:sz w:val="24"/>
          <w:szCs w:val="24"/>
        </w:rPr>
        <w:t xml:space="preserve"> were manufacturing, using, and distributing chemicals use their knowledge to transform th</w:t>
      </w:r>
      <w:r>
        <w:rPr>
          <w:rFonts w:cs="Times New Roman"/>
          <w:sz w:val="24"/>
          <w:szCs w:val="24"/>
        </w:rPr>
        <w:t>e</w:t>
      </w:r>
      <w:r w:rsidRPr="00937FEF">
        <w:rPr>
          <w:rFonts w:cs="Times New Roman"/>
          <w:sz w:val="24"/>
          <w:szCs w:val="24"/>
        </w:rPr>
        <w:t xml:space="preserve"> </w:t>
      </w:r>
      <w:r>
        <w:rPr>
          <w:rFonts w:cs="Times New Roman"/>
          <w:sz w:val="24"/>
          <w:szCs w:val="24"/>
        </w:rPr>
        <w:t>s</w:t>
      </w:r>
      <w:r w:rsidRPr="00937FEF">
        <w:rPr>
          <w:rFonts w:cs="Times New Roman"/>
          <w:sz w:val="24"/>
          <w:szCs w:val="24"/>
        </w:rPr>
        <w:t xml:space="preserve">tatement of </w:t>
      </w:r>
      <w:r>
        <w:rPr>
          <w:rFonts w:cs="Times New Roman"/>
          <w:sz w:val="24"/>
          <w:szCs w:val="24"/>
        </w:rPr>
        <w:t>p</w:t>
      </w:r>
      <w:r w:rsidRPr="00937FEF">
        <w:rPr>
          <w:rFonts w:cs="Times New Roman"/>
          <w:sz w:val="24"/>
          <w:szCs w:val="24"/>
        </w:rPr>
        <w:t xml:space="preserve">olicy into operational terms called </w:t>
      </w:r>
      <w:r>
        <w:rPr>
          <w:rFonts w:cs="Times New Roman"/>
          <w:sz w:val="24"/>
          <w:szCs w:val="24"/>
        </w:rPr>
        <w:t>C</w:t>
      </w:r>
      <w:r w:rsidRPr="00937FEF">
        <w:rPr>
          <w:rFonts w:cs="Times New Roman"/>
          <w:sz w:val="24"/>
          <w:szCs w:val="24"/>
        </w:rPr>
        <w:t xml:space="preserve">ode of </w:t>
      </w:r>
      <w:r>
        <w:rPr>
          <w:rFonts w:cs="Times New Roman"/>
          <w:sz w:val="24"/>
          <w:szCs w:val="24"/>
        </w:rPr>
        <w:t>P</w:t>
      </w:r>
      <w:r w:rsidRPr="00937FEF">
        <w:rPr>
          <w:rFonts w:cs="Times New Roman"/>
          <w:sz w:val="24"/>
          <w:szCs w:val="24"/>
        </w:rPr>
        <w:t xml:space="preserve">ractices. </w:t>
      </w:r>
      <w:r w:rsidRPr="009B2EBE">
        <w:rPr>
          <w:rFonts w:cs="Times New Roman"/>
          <w:sz w:val="24"/>
          <w:szCs w:val="24"/>
        </w:rPr>
        <w:t xml:space="preserve">Responsible Care educated </w:t>
      </w:r>
      <w:r>
        <w:rPr>
          <w:rFonts w:cs="Times New Roman"/>
          <w:sz w:val="24"/>
          <w:szCs w:val="24"/>
        </w:rPr>
        <w:t>its</w:t>
      </w:r>
      <w:r w:rsidRPr="009B2EBE">
        <w:rPr>
          <w:rFonts w:cs="Times New Roman"/>
          <w:sz w:val="24"/>
          <w:szCs w:val="24"/>
        </w:rPr>
        <w:t xml:space="preserve"> member compan</w:t>
      </w:r>
      <w:r>
        <w:rPr>
          <w:rFonts w:cs="Times New Roman"/>
          <w:sz w:val="24"/>
          <w:szCs w:val="24"/>
        </w:rPr>
        <w:t>ies</w:t>
      </w:r>
      <w:r w:rsidRPr="009B2EBE">
        <w:rPr>
          <w:rFonts w:cs="Times New Roman"/>
          <w:sz w:val="24"/>
          <w:szCs w:val="24"/>
        </w:rPr>
        <w:t xml:space="preserve"> about the unique opportunity they had to create </w:t>
      </w:r>
      <w:r>
        <w:rPr>
          <w:rFonts w:cs="Times New Roman"/>
          <w:sz w:val="24"/>
          <w:szCs w:val="24"/>
        </w:rPr>
        <w:t xml:space="preserve">a code of practices that could be a game-changer for the whole industry and avoid an accident that would further tarnish the industry’s reputation. </w:t>
      </w:r>
    </w:p>
    <w:p w14:paraId="5E1A3679" w14:textId="77777777" w:rsidR="00DD4AD1" w:rsidRPr="00937FEF" w:rsidRDefault="00DD4AD1" w:rsidP="00DD4AD1">
      <w:pPr>
        <w:rPr>
          <w:rFonts w:cs="Times New Roman"/>
          <w:sz w:val="24"/>
          <w:szCs w:val="24"/>
        </w:rPr>
      </w:pPr>
      <w:r w:rsidRPr="009B2EBE">
        <w:rPr>
          <w:rFonts w:cs="Times New Roman"/>
          <w:sz w:val="24"/>
          <w:szCs w:val="24"/>
        </w:rPr>
        <w:t>SEMATECH</w:t>
      </w:r>
      <w:r>
        <w:t xml:space="preserve"> </w:t>
      </w:r>
      <w:r>
        <w:rPr>
          <w:rFonts w:cs="Times New Roman"/>
          <w:sz w:val="24"/>
          <w:szCs w:val="24"/>
        </w:rPr>
        <w:t xml:space="preserve">aimed to </w:t>
      </w:r>
      <w:r w:rsidRPr="00937FEF">
        <w:rPr>
          <w:rFonts w:cs="Times New Roman"/>
          <w:sz w:val="24"/>
          <w:szCs w:val="24"/>
        </w:rPr>
        <w:t>revitalize the US chip making industry and re</w:t>
      </w:r>
      <w:r>
        <w:rPr>
          <w:rFonts w:cs="Times New Roman"/>
          <w:sz w:val="24"/>
          <w:szCs w:val="24"/>
        </w:rPr>
        <w:t xml:space="preserve">establish its </w:t>
      </w:r>
      <w:r w:rsidRPr="00937FEF">
        <w:rPr>
          <w:rFonts w:cs="Times New Roman"/>
          <w:sz w:val="24"/>
          <w:szCs w:val="24"/>
        </w:rPr>
        <w:t>leadership</w:t>
      </w:r>
      <w:r>
        <w:rPr>
          <w:rFonts w:cs="Times New Roman"/>
          <w:sz w:val="24"/>
          <w:szCs w:val="24"/>
        </w:rPr>
        <w:t xml:space="preserve"> position in</w:t>
      </w:r>
      <w:r w:rsidRPr="00937FEF">
        <w:rPr>
          <w:rFonts w:cs="Times New Roman"/>
          <w:sz w:val="24"/>
          <w:szCs w:val="24"/>
        </w:rPr>
        <w:t xml:space="preserve"> manufacturing</w:t>
      </w:r>
      <w:r>
        <w:rPr>
          <w:rFonts w:cs="Times New Roman"/>
          <w:sz w:val="24"/>
          <w:szCs w:val="24"/>
        </w:rPr>
        <w:t xml:space="preserve"> globally</w:t>
      </w:r>
      <w:r w:rsidRPr="00937FEF">
        <w:rPr>
          <w:rFonts w:cs="Times New Roman"/>
          <w:sz w:val="24"/>
          <w:szCs w:val="24"/>
        </w:rPr>
        <w:t>.</w:t>
      </w:r>
      <w:r>
        <w:rPr>
          <w:rFonts w:cs="Times New Roman"/>
          <w:sz w:val="24"/>
          <w:szCs w:val="24"/>
        </w:rPr>
        <w:t xml:space="preserve"> To facilitate collective action between competing s</w:t>
      </w:r>
      <w:r w:rsidRPr="009B2EBE">
        <w:rPr>
          <w:rFonts w:cs="Times New Roman"/>
          <w:sz w:val="24"/>
          <w:szCs w:val="24"/>
        </w:rPr>
        <w:t xml:space="preserve">emiconductor </w:t>
      </w:r>
      <w:r>
        <w:rPr>
          <w:rFonts w:cs="Times New Roman"/>
          <w:sz w:val="24"/>
          <w:szCs w:val="24"/>
        </w:rPr>
        <w:t>m</w:t>
      </w:r>
      <w:r w:rsidRPr="009B2EBE">
        <w:rPr>
          <w:rFonts w:cs="Times New Roman"/>
          <w:sz w:val="24"/>
          <w:szCs w:val="24"/>
        </w:rPr>
        <w:t>anufactur</w:t>
      </w:r>
      <w:r>
        <w:rPr>
          <w:rFonts w:cs="Times New Roman"/>
          <w:sz w:val="24"/>
          <w:szCs w:val="24"/>
        </w:rPr>
        <w:t xml:space="preserve">ers unaccustomed to collaborating, SEMATECH spent time educating its members </w:t>
      </w:r>
      <w:r w:rsidRPr="00D1674C">
        <w:rPr>
          <w:rFonts w:cs="Times New Roman"/>
          <w:sz w:val="24"/>
          <w:szCs w:val="24"/>
        </w:rPr>
        <w:t xml:space="preserve">about the </w:t>
      </w:r>
      <w:r>
        <w:rPr>
          <w:rFonts w:cs="Times New Roman"/>
          <w:sz w:val="24"/>
          <w:szCs w:val="24"/>
        </w:rPr>
        <w:t xml:space="preserve">gravity of inaction. </w:t>
      </w:r>
      <w:r w:rsidRPr="00937FEF">
        <w:rPr>
          <w:rFonts w:cs="Times New Roman"/>
          <w:sz w:val="24"/>
          <w:szCs w:val="24"/>
        </w:rPr>
        <w:t>At th</w:t>
      </w:r>
      <w:r>
        <w:rPr>
          <w:rFonts w:cs="Times New Roman"/>
          <w:sz w:val="24"/>
          <w:szCs w:val="24"/>
        </w:rPr>
        <w:t>at</w:t>
      </w:r>
      <w:r w:rsidRPr="00937FEF">
        <w:rPr>
          <w:rFonts w:cs="Times New Roman"/>
          <w:sz w:val="24"/>
          <w:szCs w:val="24"/>
        </w:rPr>
        <w:t xml:space="preserve"> time, they </w:t>
      </w:r>
      <w:r>
        <w:rPr>
          <w:rFonts w:cs="Times New Roman"/>
          <w:sz w:val="24"/>
          <w:szCs w:val="24"/>
        </w:rPr>
        <w:t xml:space="preserve">estimated </w:t>
      </w:r>
      <w:r w:rsidRPr="00937FEF">
        <w:rPr>
          <w:rFonts w:cs="Times New Roman"/>
          <w:sz w:val="24"/>
          <w:szCs w:val="24"/>
        </w:rPr>
        <w:t xml:space="preserve">that US market share of the semiconductor industry would shrink from 85 percent to 20 percent, </w:t>
      </w:r>
      <w:r>
        <w:rPr>
          <w:rFonts w:cs="Times New Roman"/>
          <w:sz w:val="24"/>
          <w:szCs w:val="24"/>
        </w:rPr>
        <w:t>due to the rise</w:t>
      </w:r>
      <w:r w:rsidRPr="00937FEF">
        <w:rPr>
          <w:rFonts w:cs="Times New Roman"/>
          <w:sz w:val="24"/>
          <w:szCs w:val="24"/>
        </w:rPr>
        <w:t xml:space="preserve"> </w:t>
      </w:r>
      <w:r>
        <w:rPr>
          <w:rFonts w:cs="Times New Roman"/>
          <w:sz w:val="24"/>
          <w:szCs w:val="24"/>
        </w:rPr>
        <w:t xml:space="preserve">of </w:t>
      </w:r>
      <w:r w:rsidRPr="00937FEF">
        <w:rPr>
          <w:rFonts w:cs="Times New Roman"/>
          <w:sz w:val="24"/>
          <w:szCs w:val="24"/>
        </w:rPr>
        <w:t xml:space="preserve">Japanese </w:t>
      </w:r>
      <w:r>
        <w:rPr>
          <w:rFonts w:cs="Times New Roman"/>
          <w:sz w:val="24"/>
          <w:szCs w:val="24"/>
        </w:rPr>
        <w:t xml:space="preserve">competitors that had </w:t>
      </w:r>
      <w:r w:rsidRPr="00937FEF">
        <w:rPr>
          <w:rFonts w:cs="Times New Roman"/>
          <w:sz w:val="24"/>
          <w:szCs w:val="24"/>
        </w:rPr>
        <w:t>developed superior process and manufacturing technologies</w:t>
      </w:r>
      <w:r>
        <w:rPr>
          <w:rFonts w:cs="Times New Roman"/>
          <w:sz w:val="24"/>
          <w:szCs w:val="24"/>
        </w:rPr>
        <w:t xml:space="preserve"> resulting</w:t>
      </w:r>
      <w:r w:rsidRPr="00937FEF">
        <w:rPr>
          <w:rFonts w:cs="Times New Roman"/>
          <w:sz w:val="24"/>
          <w:szCs w:val="24"/>
        </w:rPr>
        <w:t xml:space="preserve"> in higher quality semiconductor chips. </w:t>
      </w:r>
      <w:r>
        <w:rPr>
          <w:rFonts w:cs="Times New Roman"/>
          <w:sz w:val="24"/>
          <w:szCs w:val="24"/>
        </w:rPr>
        <w:t>SEMATECH reinforced the sha</w:t>
      </w:r>
      <w:r w:rsidRPr="00937FEF">
        <w:rPr>
          <w:rFonts w:cs="Times New Roman"/>
          <w:sz w:val="24"/>
          <w:szCs w:val="24"/>
        </w:rPr>
        <w:t>red sense</w:t>
      </w:r>
      <w:r>
        <w:rPr>
          <w:rFonts w:cs="Times New Roman"/>
          <w:sz w:val="24"/>
          <w:szCs w:val="24"/>
        </w:rPr>
        <w:t xml:space="preserve"> of urgency</w:t>
      </w:r>
      <w:r w:rsidRPr="00937FEF">
        <w:rPr>
          <w:rFonts w:cs="Times New Roman"/>
          <w:sz w:val="24"/>
          <w:szCs w:val="24"/>
        </w:rPr>
        <w:t xml:space="preserve"> that the semiconductor industry was vital to American technology preeminence</w:t>
      </w:r>
      <w:r>
        <w:rPr>
          <w:rFonts w:cs="Times New Roman"/>
          <w:sz w:val="24"/>
          <w:szCs w:val="24"/>
        </w:rPr>
        <w:t>.</w:t>
      </w:r>
      <w:r w:rsidRPr="00937FEF">
        <w:rPr>
          <w:rFonts w:cs="Times New Roman"/>
          <w:sz w:val="24"/>
          <w:szCs w:val="24"/>
        </w:rPr>
        <w:t xml:space="preserve"> </w:t>
      </w:r>
    </w:p>
    <w:p w14:paraId="2EA8A7CF" w14:textId="77777777" w:rsidR="00DD4AD1" w:rsidRPr="008964AE" w:rsidRDefault="00DD4AD1" w:rsidP="00DD4AD1">
      <w:pPr>
        <w:rPr>
          <w:rFonts w:cs="Times New Roman"/>
          <w:sz w:val="24"/>
          <w:szCs w:val="24"/>
        </w:rPr>
      </w:pPr>
      <w:r w:rsidRPr="009B2EBE">
        <w:rPr>
          <w:rFonts w:cs="Times New Roman"/>
          <w:sz w:val="24"/>
          <w:szCs w:val="24"/>
        </w:rPr>
        <w:t xml:space="preserve">SEMATECH </w:t>
      </w:r>
      <w:r>
        <w:rPr>
          <w:rFonts w:cs="Times New Roman"/>
          <w:sz w:val="24"/>
          <w:szCs w:val="24"/>
        </w:rPr>
        <w:t xml:space="preserve">spent time developing its culture and </w:t>
      </w:r>
      <w:r w:rsidRPr="00937FEF">
        <w:rPr>
          <w:rFonts w:cs="Times New Roman"/>
          <w:sz w:val="24"/>
          <w:szCs w:val="24"/>
        </w:rPr>
        <w:t xml:space="preserve">came up with a watchword phrase any member could rely on: </w:t>
      </w:r>
      <w:bookmarkStart w:id="3" w:name="_Hlk26546233"/>
      <w:r w:rsidRPr="00937FEF">
        <w:rPr>
          <w:rFonts w:cs="Times New Roman"/>
          <w:sz w:val="24"/>
          <w:szCs w:val="24"/>
        </w:rPr>
        <w:t xml:space="preserve">“If it's not competitive, change it.” </w:t>
      </w:r>
      <w:bookmarkEnd w:id="3"/>
      <w:r w:rsidRPr="00937FEF">
        <w:rPr>
          <w:rFonts w:cs="Times New Roman"/>
          <w:sz w:val="24"/>
          <w:szCs w:val="24"/>
        </w:rPr>
        <w:t xml:space="preserve">The </w:t>
      </w:r>
      <w:r>
        <w:rPr>
          <w:rFonts w:cs="Times New Roman"/>
          <w:sz w:val="24"/>
          <w:szCs w:val="24"/>
        </w:rPr>
        <w:t>consortium’s</w:t>
      </w:r>
      <w:r w:rsidRPr="00937FEF">
        <w:rPr>
          <w:rFonts w:cs="Times New Roman"/>
          <w:sz w:val="24"/>
          <w:szCs w:val="24"/>
        </w:rPr>
        <w:t xml:space="preserve"> </w:t>
      </w:r>
      <w:r>
        <w:rPr>
          <w:rFonts w:cs="Times New Roman"/>
          <w:sz w:val="24"/>
          <w:szCs w:val="24"/>
        </w:rPr>
        <w:t xml:space="preserve">intent </w:t>
      </w:r>
      <w:r w:rsidRPr="00937FEF">
        <w:rPr>
          <w:rFonts w:cs="Times New Roman"/>
          <w:sz w:val="24"/>
          <w:szCs w:val="24"/>
        </w:rPr>
        <w:t xml:space="preserve">was to create a shared sense of a </w:t>
      </w:r>
      <w:r>
        <w:rPr>
          <w:rFonts w:cs="Times New Roman"/>
          <w:sz w:val="24"/>
          <w:szCs w:val="24"/>
        </w:rPr>
        <w:t>“</w:t>
      </w:r>
      <w:r w:rsidRPr="00937FEF">
        <w:rPr>
          <w:rFonts w:cs="Times New Roman"/>
          <w:sz w:val="24"/>
          <w:szCs w:val="24"/>
        </w:rPr>
        <w:t xml:space="preserve">community of fate” that emphasized the need to change </w:t>
      </w:r>
      <w:proofErr w:type="gramStart"/>
      <w:r w:rsidRPr="00937FEF">
        <w:rPr>
          <w:rFonts w:cs="Times New Roman"/>
          <w:sz w:val="24"/>
          <w:szCs w:val="24"/>
        </w:rPr>
        <w:t>in order to</w:t>
      </w:r>
      <w:proofErr w:type="gramEnd"/>
      <w:r w:rsidRPr="00937FEF">
        <w:rPr>
          <w:rFonts w:cs="Times New Roman"/>
          <w:sz w:val="24"/>
          <w:szCs w:val="24"/>
        </w:rPr>
        <w:t xml:space="preserve"> survive.</w:t>
      </w:r>
      <w:r>
        <w:rPr>
          <w:rFonts w:cs="Times New Roman"/>
          <w:sz w:val="24"/>
          <w:szCs w:val="24"/>
        </w:rPr>
        <w:t xml:space="preserve"> SEMATECH’s decision to spend time developing a culture was initially criticized </w:t>
      </w:r>
      <w:r>
        <w:rPr>
          <w:rFonts w:cs="Times New Roman"/>
          <w:sz w:val="24"/>
          <w:szCs w:val="24"/>
        </w:rPr>
        <w:lastRenderedPageBreak/>
        <w:t xml:space="preserve">because </w:t>
      </w:r>
      <w:r w:rsidRPr="00937FEF">
        <w:rPr>
          <w:rFonts w:cs="Times New Roman"/>
          <w:sz w:val="24"/>
          <w:szCs w:val="24"/>
        </w:rPr>
        <w:t>each company had its own culture</w:t>
      </w:r>
      <w:r>
        <w:rPr>
          <w:rFonts w:cs="Times New Roman"/>
          <w:sz w:val="24"/>
          <w:szCs w:val="24"/>
        </w:rPr>
        <w:t xml:space="preserve"> and was unlikely </w:t>
      </w:r>
      <w:r w:rsidRPr="00937FEF">
        <w:rPr>
          <w:rFonts w:cs="Times New Roman"/>
          <w:sz w:val="24"/>
          <w:szCs w:val="24"/>
        </w:rPr>
        <w:t>to change</w:t>
      </w:r>
      <w:r>
        <w:rPr>
          <w:rFonts w:cs="Times New Roman"/>
          <w:sz w:val="24"/>
          <w:szCs w:val="24"/>
        </w:rPr>
        <w:t xml:space="preserve"> or adopt a second one</w:t>
      </w:r>
      <w:r w:rsidRPr="00937FEF">
        <w:rPr>
          <w:rFonts w:cs="Times New Roman"/>
          <w:sz w:val="24"/>
          <w:szCs w:val="24"/>
        </w:rPr>
        <w:t xml:space="preserve">. </w:t>
      </w:r>
    </w:p>
    <w:p w14:paraId="173A809A" w14:textId="77777777" w:rsidR="00DD4AD1" w:rsidRPr="00611F2E" w:rsidRDefault="00DD4AD1" w:rsidP="00DD4AD1">
      <w:pPr>
        <w:rPr>
          <w:b/>
          <w:bCs/>
          <w:i/>
          <w:iCs/>
        </w:rPr>
      </w:pPr>
      <w:r w:rsidRPr="00611F2E">
        <w:rPr>
          <w:b/>
          <w:bCs/>
          <w:i/>
          <w:iCs/>
        </w:rPr>
        <w:t xml:space="preserve">Seizing </w:t>
      </w:r>
    </w:p>
    <w:p w14:paraId="3A64439A" w14:textId="77777777" w:rsidR="00DD4AD1" w:rsidRPr="00941B0B" w:rsidRDefault="00DD4AD1" w:rsidP="00DD4AD1">
      <w:r w:rsidRPr="00941B0B">
        <w:t xml:space="preserve">Seizing is about </w:t>
      </w:r>
      <w:r w:rsidRPr="00BA0B69">
        <w:t xml:space="preserve">making timely decisions to react to the opportunity or threat by co-creating solutions. </w:t>
      </w:r>
      <w:r>
        <w:t>For INPO</w:t>
      </w:r>
      <w:r w:rsidRPr="00BA0B69">
        <w:rPr>
          <w:bCs/>
        </w:rPr>
        <w:t>,</w:t>
      </w:r>
      <w:r>
        <w:rPr>
          <w:bCs/>
        </w:rPr>
        <w:t xml:space="preserve"> Responsible Care, and SEMATECH,</w:t>
      </w:r>
      <w:r w:rsidRPr="00BA0B69">
        <w:rPr>
          <w:bCs/>
        </w:rPr>
        <w:t xml:space="preserve"> </w:t>
      </w:r>
      <w:r w:rsidRPr="00BA0B69">
        <w:t>having industry members c</w:t>
      </w:r>
      <w:r w:rsidRPr="00BA0B69">
        <w:rPr>
          <w:bCs/>
        </w:rPr>
        <w:t>onvinced of the</w:t>
      </w:r>
      <w:r w:rsidRPr="00941B0B">
        <w:rPr>
          <w:bCs/>
        </w:rPr>
        <w:t xml:space="preserve"> need to improve safety and environment</w:t>
      </w:r>
      <w:r>
        <w:rPr>
          <w:bCs/>
        </w:rPr>
        <w:t>al</w:t>
      </w:r>
      <w:r w:rsidRPr="00941B0B">
        <w:rPr>
          <w:bCs/>
        </w:rPr>
        <w:t xml:space="preserve"> practices was </w:t>
      </w:r>
      <w:r>
        <w:rPr>
          <w:bCs/>
        </w:rPr>
        <w:t xml:space="preserve">not sufficient </w:t>
      </w:r>
      <w:r w:rsidRPr="00941B0B">
        <w:rPr>
          <w:bCs/>
        </w:rPr>
        <w:t xml:space="preserve">to </w:t>
      </w:r>
      <w:r>
        <w:rPr>
          <w:bCs/>
        </w:rPr>
        <w:t>prompt</w:t>
      </w:r>
      <w:r w:rsidRPr="00941B0B">
        <w:rPr>
          <w:bCs/>
        </w:rPr>
        <w:t xml:space="preserve"> voluntary disclos</w:t>
      </w:r>
      <w:r>
        <w:rPr>
          <w:bCs/>
        </w:rPr>
        <w:t>ure of</w:t>
      </w:r>
      <w:r w:rsidRPr="00941B0B">
        <w:rPr>
          <w:bCs/>
        </w:rPr>
        <w:t xml:space="preserve"> internal technology risks</w:t>
      </w:r>
      <w:r>
        <w:rPr>
          <w:bCs/>
        </w:rPr>
        <w:t>,</w:t>
      </w:r>
      <w:r w:rsidRPr="00941B0B">
        <w:rPr>
          <w:bCs/>
        </w:rPr>
        <w:t xml:space="preserve"> engage</w:t>
      </w:r>
      <w:r>
        <w:rPr>
          <w:bCs/>
        </w:rPr>
        <w:t xml:space="preserve"> others to </w:t>
      </w:r>
      <w:r w:rsidRPr="00941B0B">
        <w:rPr>
          <w:bCs/>
        </w:rPr>
        <w:t>solv</w:t>
      </w:r>
      <w:r>
        <w:rPr>
          <w:bCs/>
        </w:rPr>
        <w:t>e</w:t>
      </w:r>
      <w:r w:rsidRPr="00941B0B">
        <w:rPr>
          <w:bCs/>
        </w:rPr>
        <w:t xml:space="preserve"> these risks</w:t>
      </w:r>
      <w:r>
        <w:rPr>
          <w:bCs/>
        </w:rPr>
        <w:t>,</w:t>
      </w:r>
      <w:r w:rsidRPr="00941B0B">
        <w:rPr>
          <w:bCs/>
        </w:rPr>
        <w:t xml:space="preserve"> and then use the solution created</w:t>
      </w:r>
      <w:r>
        <w:rPr>
          <w:bCs/>
        </w:rPr>
        <w:t xml:space="preserve">. This initial absence of seizing capabilities is not surprising. Okura (2008) identified three </w:t>
      </w:r>
      <w:r w:rsidRPr="00941B0B">
        <w:rPr>
          <w:rFonts w:eastAsia="Times New Roman"/>
          <w:bCs/>
        </w:rPr>
        <w:t xml:space="preserve">disadvantages </w:t>
      </w:r>
      <w:r>
        <w:rPr>
          <w:rFonts w:eastAsia="Times New Roman"/>
          <w:bCs/>
        </w:rPr>
        <w:t xml:space="preserve">to a firm </w:t>
      </w:r>
      <w:r w:rsidRPr="00941B0B">
        <w:rPr>
          <w:rFonts w:eastAsia="Times New Roman"/>
          <w:bCs/>
        </w:rPr>
        <w:t xml:space="preserve">of disclosing accident information </w:t>
      </w:r>
      <w:r>
        <w:rPr>
          <w:rFonts w:eastAsia="Times New Roman"/>
          <w:bCs/>
        </w:rPr>
        <w:t>that, to the firm, outweigh</w:t>
      </w:r>
      <w:r w:rsidRPr="00941B0B">
        <w:rPr>
          <w:rFonts w:eastAsia="Times New Roman"/>
          <w:bCs/>
        </w:rPr>
        <w:t xml:space="preserve"> the collective benefits</w:t>
      </w:r>
      <w:r>
        <w:rPr>
          <w:rFonts w:eastAsia="Times New Roman"/>
          <w:bCs/>
        </w:rPr>
        <w:t>: decreased</w:t>
      </w:r>
      <w:r w:rsidRPr="00941B0B">
        <w:rPr>
          <w:rFonts w:eastAsia="Times New Roman"/>
          <w:bCs/>
        </w:rPr>
        <w:t xml:space="preserve"> demand </w:t>
      </w:r>
      <w:r>
        <w:rPr>
          <w:rFonts w:eastAsia="Times New Roman"/>
          <w:bCs/>
        </w:rPr>
        <w:t>when</w:t>
      </w:r>
      <w:r w:rsidRPr="00941B0B">
        <w:rPr>
          <w:rFonts w:eastAsia="Times New Roman"/>
          <w:bCs/>
        </w:rPr>
        <w:t xml:space="preserve"> the risk is revealed, fear of losing competitive advantage by having critical information revealed</w:t>
      </w:r>
      <w:r>
        <w:rPr>
          <w:rFonts w:eastAsia="Times New Roman"/>
          <w:bCs/>
        </w:rPr>
        <w:t xml:space="preserve"> to the public involuntarily</w:t>
      </w:r>
      <w:r w:rsidRPr="00941B0B">
        <w:rPr>
          <w:rFonts w:eastAsia="Times New Roman"/>
          <w:bCs/>
        </w:rPr>
        <w:t xml:space="preserve">, or </w:t>
      </w:r>
      <w:r w:rsidRPr="00531F9E">
        <w:rPr>
          <w:bCs/>
        </w:rPr>
        <w:t>fear of free-riding behavior whereby firms want to receive others’ accident information but may not want to share their own.</w:t>
      </w:r>
      <w:r>
        <w:rPr>
          <w:bCs/>
        </w:rPr>
        <w:t xml:space="preserve"> Each overarching organization </w:t>
      </w:r>
      <w:r w:rsidRPr="00941B0B">
        <w:t xml:space="preserve">developed different tactics to </w:t>
      </w:r>
      <w:r>
        <w:t>quell industry members’</w:t>
      </w:r>
      <w:r w:rsidRPr="00941B0B">
        <w:t xml:space="preserve"> </w:t>
      </w:r>
      <w:r>
        <w:t>concerns</w:t>
      </w:r>
      <w:r w:rsidRPr="00941B0B">
        <w:t xml:space="preserve"> </w:t>
      </w:r>
      <w:r>
        <w:t xml:space="preserve">about </w:t>
      </w:r>
      <w:r w:rsidRPr="00941B0B">
        <w:t xml:space="preserve">disclosing </w:t>
      </w:r>
      <w:r>
        <w:t xml:space="preserve">information about </w:t>
      </w:r>
      <w:r w:rsidRPr="00941B0B">
        <w:t>internal accident</w:t>
      </w:r>
      <w:r>
        <w:t>s</w:t>
      </w:r>
      <w:r w:rsidRPr="00941B0B">
        <w:t xml:space="preserve"> or risk</w:t>
      </w:r>
      <w:r>
        <w:t>s</w:t>
      </w:r>
      <w:r w:rsidRPr="00941B0B">
        <w:t xml:space="preserve"> due to their technology, </w:t>
      </w:r>
      <w:r>
        <w:t xml:space="preserve">and to prompt members to </w:t>
      </w:r>
      <w:r w:rsidRPr="00941B0B">
        <w:t>disclos</w:t>
      </w:r>
      <w:r>
        <w:t xml:space="preserve">e pertinent </w:t>
      </w:r>
      <w:r w:rsidRPr="00941B0B">
        <w:t xml:space="preserve">information needed to monitor </w:t>
      </w:r>
      <w:r>
        <w:t>each industry member’s</w:t>
      </w:r>
      <w:r w:rsidRPr="00941B0B">
        <w:t xml:space="preserve"> performance and effort. </w:t>
      </w:r>
    </w:p>
    <w:p w14:paraId="33823281" w14:textId="77777777" w:rsidR="00DD4AD1" w:rsidRPr="00A53462" w:rsidRDefault="00DD4AD1" w:rsidP="00DD4AD1">
      <w:r>
        <w:t xml:space="preserve">INPO realized a nuclear plant owner considered it </w:t>
      </w:r>
      <w:r w:rsidRPr="00937FEF">
        <w:t xml:space="preserve">counter-intuitive to </w:t>
      </w:r>
      <w:r w:rsidRPr="00937FEF">
        <w:rPr>
          <w:noProof/>
        </w:rPr>
        <w:t xml:space="preserve">share </w:t>
      </w:r>
      <w:r w:rsidRPr="00937FEF">
        <w:t xml:space="preserve">its safety weakness and to give competitors </w:t>
      </w:r>
      <w:r>
        <w:t xml:space="preserve">access </w:t>
      </w:r>
      <w:r w:rsidRPr="00937FEF">
        <w:t xml:space="preserve">to </w:t>
      </w:r>
      <w:r>
        <w:t>its</w:t>
      </w:r>
      <w:r w:rsidRPr="00937FEF">
        <w:t xml:space="preserve"> plants. Thus, INPO had to find organizational solutions </w:t>
      </w:r>
      <w:r>
        <w:t>so a</w:t>
      </w:r>
      <w:r w:rsidRPr="00937FEF">
        <w:t xml:space="preserve"> company could speak freely about </w:t>
      </w:r>
      <w:r>
        <w:t>its</w:t>
      </w:r>
      <w:r w:rsidRPr="00937FEF">
        <w:t xml:space="preserve"> risks and safety fear</w:t>
      </w:r>
      <w:r>
        <w:t>s</w:t>
      </w:r>
      <w:r w:rsidRPr="00937FEF">
        <w:t>. INPO bec</w:t>
      </w:r>
      <w:r>
        <w:t>a</w:t>
      </w:r>
      <w:r w:rsidRPr="00937FEF">
        <w:t>me a neutral third-party organization composed of an independent, international team of peers with extensive expertise and technical skill in nuclear power generation technology. INPO offer</w:t>
      </w:r>
      <w:r>
        <w:t>ed</w:t>
      </w:r>
      <w:r w:rsidRPr="00937FEF">
        <w:t xml:space="preserve"> </w:t>
      </w:r>
      <w:r>
        <w:t xml:space="preserve">members </w:t>
      </w:r>
      <w:r w:rsidRPr="00937FEF">
        <w:t xml:space="preserve">a </w:t>
      </w:r>
      <w:r>
        <w:t xml:space="preserve">robust and </w:t>
      </w:r>
      <w:r w:rsidRPr="00937FEF">
        <w:t xml:space="preserve">confidential </w:t>
      </w:r>
      <w:r>
        <w:t xml:space="preserve">evaluation </w:t>
      </w:r>
      <w:r w:rsidRPr="00937FEF">
        <w:t>of each plant</w:t>
      </w:r>
      <w:r>
        <w:t xml:space="preserve"> by its independent experts</w:t>
      </w:r>
      <w:r w:rsidRPr="00937FEF">
        <w:t xml:space="preserve">. </w:t>
      </w:r>
      <w:r>
        <w:t xml:space="preserve">INPO’s value-added was the </w:t>
      </w:r>
      <w:r w:rsidRPr="00937FEF">
        <w:t>rigorous evaluation and the confidentiality of the report</w:t>
      </w:r>
      <w:r>
        <w:t xml:space="preserve">, which </w:t>
      </w:r>
      <w:r w:rsidRPr="00937FEF">
        <w:t xml:space="preserve">allowed the </w:t>
      </w:r>
      <w:r w:rsidRPr="00937FEF">
        <w:rPr>
          <w:noProof/>
        </w:rPr>
        <w:t>plant’s</w:t>
      </w:r>
      <w:r w:rsidRPr="00937FEF">
        <w:t xml:space="preserve"> owner to overcome the fear of </w:t>
      </w:r>
      <w:r>
        <w:t>letting</w:t>
      </w:r>
      <w:r w:rsidRPr="00937FEF">
        <w:t xml:space="preserve"> evaluators</w:t>
      </w:r>
      <w:r>
        <w:t xml:space="preserve"> onsite</w:t>
      </w:r>
      <w:r w:rsidRPr="00937FEF">
        <w:t xml:space="preserve">. </w:t>
      </w:r>
      <w:r>
        <w:t>T</w:t>
      </w:r>
      <w:r w:rsidRPr="00937FEF">
        <w:t xml:space="preserve">he INPO report </w:t>
      </w:r>
      <w:r>
        <w:t xml:space="preserve">also </w:t>
      </w:r>
      <w:r w:rsidRPr="00937FEF">
        <w:t>offered ready-</w:t>
      </w:r>
      <w:r>
        <w:t>to</w:t>
      </w:r>
      <w:r w:rsidRPr="00937FEF">
        <w:t xml:space="preserve">-use solutions </w:t>
      </w:r>
      <w:r>
        <w:t xml:space="preserve">derived from </w:t>
      </w:r>
      <w:r w:rsidRPr="00937FEF">
        <w:rPr>
          <w:noProof/>
        </w:rPr>
        <w:t>observ</w:t>
      </w:r>
      <w:r>
        <w:rPr>
          <w:noProof/>
        </w:rPr>
        <w:t xml:space="preserve">ations at </w:t>
      </w:r>
      <w:r w:rsidRPr="00937FEF">
        <w:t xml:space="preserve">other plants and, in </w:t>
      </w:r>
      <w:r>
        <w:t xml:space="preserve">the </w:t>
      </w:r>
      <w:r w:rsidRPr="00937FEF">
        <w:t xml:space="preserve">case of </w:t>
      </w:r>
      <w:r w:rsidRPr="00937FEF">
        <w:rPr>
          <w:noProof/>
        </w:rPr>
        <w:t>unique</w:t>
      </w:r>
      <w:r w:rsidRPr="00937FEF">
        <w:t xml:space="preserve"> problems, the</w:t>
      </w:r>
      <w:r>
        <w:t xml:space="preserve"> expert evaluators and the plant owner</w:t>
      </w:r>
      <w:r w:rsidRPr="00937FEF">
        <w:t xml:space="preserve"> co-created a </w:t>
      </w:r>
      <w:r>
        <w:t>specific</w:t>
      </w:r>
      <w:r w:rsidRPr="00937FEF">
        <w:t xml:space="preserve"> solution. </w:t>
      </w:r>
      <w:r>
        <w:t xml:space="preserve">Providing solutions </w:t>
      </w:r>
      <w:r w:rsidRPr="00937FEF">
        <w:t xml:space="preserve">created an incentive to give </w:t>
      </w:r>
      <w:r>
        <w:t xml:space="preserve">the evaluation team </w:t>
      </w:r>
      <w:r w:rsidRPr="00937FEF">
        <w:t xml:space="preserve">access </w:t>
      </w:r>
      <w:r>
        <w:t>and</w:t>
      </w:r>
      <w:r w:rsidRPr="00937FEF">
        <w:t xml:space="preserve"> openly share the current and future safety issue</w:t>
      </w:r>
      <w:r>
        <w:t>s</w:t>
      </w:r>
      <w:r w:rsidRPr="00937FEF">
        <w:t xml:space="preserve"> t</w:t>
      </w:r>
      <w:r>
        <w:t>hey found</w:t>
      </w:r>
      <w:r w:rsidRPr="00937FEF">
        <w:t xml:space="preserve">. </w:t>
      </w:r>
    </w:p>
    <w:p w14:paraId="24D84440" w14:textId="77777777" w:rsidR="00DD4AD1" w:rsidRPr="00937FEF" w:rsidRDefault="00DD4AD1" w:rsidP="00DD4AD1">
      <w:pPr>
        <w:rPr>
          <w:rFonts w:cs="Times New Roman"/>
          <w:sz w:val="24"/>
          <w:szCs w:val="24"/>
        </w:rPr>
      </w:pPr>
      <w:r w:rsidRPr="005F174D">
        <w:rPr>
          <w:rFonts w:cs="Times New Roman"/>
          <w:sz w:val="24"/>
          <w:szCs w:val="24"/>
        </w:rPr>
        <w:t xml:space="preserve">Responsible </w:t>
      </w:r>
      <w:r>
        <w:rPr>
          <w:rFonts w:cs="Times New Roman"/>
          <w:sz w:val="24"/>
          <w:szCs w:val="24"/>
        </w:rPr>
        <w:t>C</w:t>
      </w:r>
      <w:r w:rsidRPr="005F174D">
        <w:rPr>
          <w:rFonts w:cs="Times New Roman"/>
          <w:sz w:val="24"/>
          <w:szCs w:val="24"/>
        </w:rPr>
        <w:t xml:space="preserve">are </w:t>
      </w:r>
      <w:r>
        <w:rPr>
          <w:rFonts w:cs="Times New Roman"/>
          <w:sz w:val="24"/>
          <w:szCs w:val="24"/>
        </w:rPr>
        <w:t xml:space="preserve">collaborated with industry members to </w:t>
      </w:r>
      <w:r w:rsidRPr="005F174D">
        <w:rPr>
          <w:rFonts w:cs="Times New Roman"/>
          <w:sz w:val="24"/>
          <w:szCs w:val="24"/>
        </w:rPr>
        <w:t xml:space="preserve">create the </w:t>
      </w:r>
      <w:r>
        <w:rPr>
          <w:rFonts w:cs="Times New Roman"/>
          <w:sz w:val="24"/>
          <w:szCs w:val="24"/>
        </w:rPr>
        <w:t>C</w:t>
      </w:r>
      <w:r w:rsidRPr="005F174D">
        <w:rPr>
          <w:rFonts w:cs="Times New Roman"/>
          <w:sz w:val="24"/>
          <w:szCs w:val="24"/>
        </w:rPr>
        <w:t xml:space="preserve">ode of </w:t>
      </w:r>
      <w:r>
        <w:rPr>
          <w:rFonts w:cs="Times New Roman"/>
          <w:sz w:val="24"/>
          <w:szCs w:val="24"/>
        </w:rPr>
        <w:t>P</w:t>
      </w:r>
      <w:r w:rsidRPr="005F174D">
        <w:rPr>
          <w:rFonts w:cs="Times New Roman"/>
          <w:sz w:val="24"/>
          <w:szCs w:val="24"/>
        </w:rPr>
        <w:t>ractices</w:t>
      </w:r>
      <w:r>
        <w:rPr>
          <w:rFonts w:cs="Times New Roman"/>
          <w:sz w:val="24"/>
          <w:szCs w:val="24"/>
        </w:rPr>
        <w:t>, but c</w:t>
      </w:r>
      <w:r w:rsidRPr="00937FEF">
        <w:rPr>
          <w:rFonts w:cs="Times New Roman"/>
          <w:sz w:val="24"/>
          <w:szCs w:val="24"/>
        </w:rPr>
        <w:t>reating the code was not enough</w:t>
      </w:r>
      <w:r>
        <w:rPr>
          <w:rFonts w:cs="Times New Roman"/>
          <w:sz w:val="24"/>
          <w:szCs w:val="24"/>
        </w:rPr>
        <w:t xml:space="preserve"> because it</w:t>
      </w:r>
      <w:r w:rsidRPr="00937FEF">
        <w:rPr>
          <w:rFonts w:cs="Times New Roman"/>
          <w:sz w:val="24"/>
          <w:szCs w:val="24"/>
        </w:rPr>
        <w:t xml:space="preserve"> </w:t>
      </w:r>
      <w:r>
        <w:rPr>
          <w:rFonts w:cs="Times New Roman"/>
          <w:sz w:val="24"/>
          <w:szCs w:val="24"/>
        </w:rPr>
        <w:t xml:space="preserve">encountered </w:t>
      </w:r>
      <w:r w:rsidRPr="00937FEF">
        <w:rPr>
          <w:rFonts w:cs="Times New Roman"/>
          <w:sz w:val="24"/>
          <w:szCs w:val="24"/>
        </w:rPr>
        <w:t xml:space="preserve">difficulties ensuring members would use them. </w:t>
      </w:r>
      <w:r>
        <w:rPr>
          <w:rFonts w:cs="Times New Roman"/>
          <w:sz w:val="24"/>
          <w:szCs w:val="24"/>
        </w:rPr>
        <w:t>M</w:t>
      </w:r>
      <w:r w:rsidRPr="00937FEF">
        <w:rPr>
          <w:rFonts w:cs="Times New Roman"/>
          <w:sz w:val="24"/>
          <w:szCs w:val="24"/>
        </w:rPr>
        <w:t xml:space="preserve">embers </w:t>
      </w:r>
      <w:r>
        <w:rPr>
          <w:rFonts w:cs="Times New Roman"/>
          <w:sz w:val="24"/>
          <w:szCs w:val="24"/>
        </w:rPr>
        <w:t>expressed</w:t>
      </w:r>
      <w:r w:rsidRPr="00937FEF">
        <w:rPr>
          <w:rFonts w:cs="Times New Roman"/>
          <w:sz w:val="24"/>
          <w:szCs w:val="24"/>
        </w:rPr>
        <w:t xml:space="preserve"> various concerns</w:t>
      </w:r>
      <w:r>
        <w:rPr>
          <w:rFonts w:cs="Times New Roman"/>
          <w:sz w:val="24"/>
          <w:szCs w:val="24"/>
        </w:rPr>
        <w:t xml:space="preserve"> to</w:t>
      </w:r>
      <w:r w:rsidRPr="00937FEF">
        <w:rPr>
          <w:rFonts w:cs="Times New Roman"/>
          <w:sz w:val="24"/>
          <w:szCs w:val="24"/>
        </w:rPr>
        <w:t xml:space="preserve"> explain why they did not want to commit either to the </w:t>
      </w:r>
      <w:r>
        <w:rPr>
          <w:rFonts w:cs="Times New Roman"/>
          <w:sz w:val="24"/>
          <w:szCs w:val="24"/>
        </w:rPr>
        <w:t>s</w:t>
      </w:r>
      <w:r w:rsidRPr="00937FEF">
        <w:rPr>
          <w:rFonts w:cs="Times New Roman"/>
          <w:sz w:val="24"/>
          <w:szCs w:val="24"/>
        </w:rPr>
        <w:t xml:space="preserve">tatement </w:t>
      </w:r>
      <w:r>
        <w:rPr>
          <w:rFonts w:cs="Times New Roman"/>
          <w:sz w:val="24"/>
          <w:szCs w:val="24"/>
        </w:rPr>
        <w:t>of p</w:t>
      </w:r>
      <w:r w:rsidRPr="00937FEF">
        <w:rPr>
          <w:rFonts w:cs="Times New Roman"/>
          <w:sz w:val="24"/>
          <w:szCs w:val="24"/>
        </w:rPr>
        <w:t xml:space="preserve">olicy or the code. </w:t>
      </w:r>
      <w:r>
        <w:rPr>
          <w:rFonts w:cs="Times New Roman"/>
          <w:sz w:val="24"/>
          <w:szCs w:val="24"/>
        </w:rPr>
        <w:t>For example, s</w:t>
      </w:r>
      <w:r w:rsidRPr="00937FEF">
        <w:rPr>
          <w:rFonts w:cs="Times New Roman"/>
          <w:sz w:val="24"/>
          <w:szCs w:val="24"/>
        </w:rPr>
        <w:t xml:space="preserve">ome members </w:t>
      </w:r>
      <w:r>
        <w:rPr>
          <w:rFonts w:cs="Times New Roman"/>
          <w:sz w:val="24"/>
          <w:szCs w:val="24"/>
        </w:rPr>
        <w:t xml:space="preserve">worried about </w:t>
      </w:r>
      <w:r w:rsidRPr="00937FEF">
        <w:rPr>
          <w:rFonts w:cs="Times New Roman"/>
          <w:sz w:val="24"/>
          <w:szCs w:val="24"/>
        </w:rPr>
        <w:t xml:space="preserve">the costs </w:t>
      </w:r>
      <w:r>
        <w:rPr>
          <w:rFonts w:cs="Times New Roman"/>
          <w:sz w:val="24"/>
          <w:szCs w:val="24"/>
        </w:rPr>
        <w:t>involved, or felt that</w:t>
      </w:r>
      <w:r w:rsidRPr="00937FEF">
        <w:rPr>
          <w:rFonts w:cs="Times New Roman"/>
          <w:sz w:val="24"/>
          <w:szCs w:val="24"/>
        </w:rPr>
        <w:t xml:space="preserve"> participation in a collective program would undermine the market benefits </w:t>
      </w:r>
      <w:r>
        <w:rPr>
          <w:rFonts w:cs="Times New Roman"/>
          <w:sz w:val="24"/>
          <w:szCs w:val="24"/>
        </w:rPr>
        <w:t xml:space="preserve">of </w:t>
      </w:r>
      <w:r w:rsidRPr="00937FEF">
        <w:rPr>
          <w:rFonts w:cs="Times New Roman"/>
          <w:sz w:val="24"/>
          <w:szCs w:val="24"/>
        </w:rPr>
        <w:t xml:space="preserve">proceeding unilaterally. </w:t>
      </w:r>
      <w:r>
        <w:rPr>
          <w:rFonts w:cs="Times New Roman"/>
          <w:sz w:val="24"/>
          <w:szCs w:val="24"/>
        </w:rPr>
        <w:t>S</w:t>
      </w:r>
      <w:r w:rsidRPr="00937FEF">
        <w:rPr>
          <w:rFonts w:cs="Times New Roman"/>
          <w:sz w:val="24"/>
          <w:szCs w:val="24"/>
        </w:rPr>
        <w:t xml:space="preserve">ome </w:t>
      </w:r>
      <w:r>
        <w:rPr>
          <w:rFonts w:cs="Times New Roman"/>
          <w:sz w:val="24"/>
          <w:szCs w:val="24"/>
        </w:rPr>
        <w:t>refused</w:t>
      </w:r>
      <w:r w:rsidRPr="00937FEF">
        <w:rPr>
          <w:rFonts w:cs="Times New Roman"/>
          <w:sz w:val="24"/>
          <w:szCs w:val="24"/>
        </w:rPr>
        <w:t xml:space="preserve"> to participate </w:t>
      </w:r>
      <w:r>
        <w:rPr>
          <w:rFonts w:cs="Times New Roman"/>
          <w:sz w:val="24"/>
          <w:szCs w:val="24"/>
        </w:rPr>
        <w:t>out of concern</w:t>
      </w:r>
      <w:r w:rsidRPr="00937FEF">
        <w:rPr>
          <w:rFonts w:cs="Times New Roman"/>
          <w:sz w:val="24"/>
          <w:szCs w:val="24"/>
        </w:rPr>
        <w:t xml:space="preserve"> that others </w:t>
      </w:r>
      <w:r>
        <w:rPr>
          <w:rFonts w:cs="Times New Roman"/>
          <w:sz w:val="24"/>
          <w:szCs w:val="24"/>
        </w:rPr>
        <w:t>would</w:t>
      </w:r>
      <w:r w:rsidRPr="00937FEF">
        <w:rPr>
          <w:rFonts w:cs="Times New Roman"/>
          <w:sz w:val="24"/>
          <w:szCs w:val="24"/>
        </w:rPr>
        <w:t xml:space="preserve"> </w:t>
      </w:r>
      <w:r>
        <w:rPr>
          <w:rFonts w:cs="Times New Roman"/>
          <w:sz w:val="24"/>
          <w:szCs w:val="24"/>
        </w:rPr>
        <w:t xml:space="preserve">be </w:t>
      </w:r>
      <w:r w:rsidRPr="00937FEF">
        <w:rPr>
          <w:rFonts w:cs="Times New Roman"/>
          <w:sz w:val="24"/>
          <w:szCs w:val="24"/>
        </w:rPr>
        <w:t>free</w:t>
      </w:r>
      <w:r>
        <w:rPr>
          <w:rFonts w:cs="Times New Roman"/>
          <w:sz w:val="24"/>
          <w:szCs w:val="24"/>
        </w:rPr>
        <w:t xml:space="preserve"> </w:t>
      </w:r>
      <w:r w:rsidRPr="00937FEF">
        <w:rPr>
          <w:rFonts w:cs="Times New Roman"/>
          <w:sz w:val="24"/>
          <w:szCs w:val="24"/>
        </w:rPr>
        <w:t>riders</w:t>
      </w:r>
      <w:r>
        <w:rPr>
          <w:rFonts w:cs="Times New Roman"/>
          <w:sz w:val="24"/>
          <w:szCs w:val="24"/>
        </w:rPr>
        <w:t>—they would reap the benefits without participating</w:t>
      </w:r>
      <w:r w:rsidRPr="00937FEF">
        <w:rPr>
          <w:rFonts w:cs="Times New Roman"/>
          <w:sz w:val="24"/>
          <w:szCs w:val="24"/>
        </w:rPr>
        <w:t xml:space="preserve">. </w:t>
      </w:r>
      <w:r>
        <w:rPr>
          <w:rFonts w:cs="Times New Roman"/>
          <w:sz w:val="24"/>
          <w:szCs w:val="24"/>
        </w:rPr>
        <w:t xml:space="preserve">To address these concerns, </w:t>
      </w:r>
      <w:r w:rsidRPr="00937FEF">
        <w:rPr>
          <w:rFonts w:cs="Times New Roman"/>
          <w:sz w:val="24"/>
          <w:szCs w:val="24"/>
        </w:rPr>
        <w:t xml:space="preserve">Responsible Care created </w:t>
      </w:r>
      <w:r>
        <w:rPr>
          <w:rFonts w:cs="Times New Roman"/>
          <w:sz w:val="24"/>
          <w:szCs w:val="24"/>
        </w:rPr>
        <w:t>s</w:t>
      </w:r>
      <w:r w:rsidRPr="00937FEF">
        <w:rPr>
          <w:rFonts w:cs="Times New Roman"/>
          <w:sz w:val="24"/>
          <w:szCs w:val="24"/>
        </w:rPr>
        <w:t xml:space="preserve">ix </w:t>
      </w:r>
      <w:r>
        <w:rPr>
          <w:rFonts w:cs="Times New Roman"/>
          <w:sz w:val="24"/>
          <w:szCs w:val="24"/>
        </w:rPr>
        <w:t>r</w:t>
      </w:r>
      <w:r w:rsidRPr="00937FEF">
        <w:rPr>
          <w:rFonts w:cs="Times New Roman"/>
          <w:sz w:val="24"/>
          <w:szCs w:val="24"/>
        </w:rPr>
        <w:t xml:space="preserve">egional </w:t>
      </w:r>
      <w:r>
        <w:rPr>
          <w:rFonts w:cs="Times New Roman"/>
          <w:sz w:val="24"/>
          <w:szCs w:val="24"/>
        </w:rPr>
        <w:t>l</w:t>
      </w:r>
      <w:r w:rsidRPr="00937FEF">
        <w:rPr>
          <w:rFonts w:cs="Times New Roman"/>
          <w:sz w:val="24"/>
          <w:szCs w:val="24"/>
        </w:rPr>
        <w:t xml:space="preserve">eadership </w:t>
      </w:r>
      <w:r>
        <w:rPr>
          <w:rFonts w:cs="Times New Roman"/>
          <w:sz w:val="24"/>
          <w:szCs w:val="24"/>
        </w:rPr>
        <w:t>g</w:t>
      </w:r>
      <w:r w:rsidRPr="00937FEF">
        <w:rPr>
          <w:rFonts w:cs="Times New Roman"/>
          <w:sz w:val="24"/>
          <w:szCs w:val="24"/>
        </w:rPr>
        <w:t xml:space="preserve">roups </w:t>
      </w:r>
      <w:r>
        <w:rPr>
          <w:rFonts w:cs="Times New Roman"/>
          <w:sz w:val="24"/>
          <w:szCs w:val="24"/>
        </w:rPr>
        <w:t>comprising CEOs</w:t>
      </w:r>
      <w:r w:rsidRPr="00937FEF">
        <w:rPr>
          <w:rFonts w:cs="Times New Roman"/>
          <w:sz w:val="24"/>
          <w:szCs w:val="24"/>
        </w:rPr>
        <w:t xml:space="preserve"> from member compan</w:t>
      </w:r>
      <w:r>
        <w:rPr>
          <w:rFonts w:cs="Times New Roman"/>
          <w:sz w:val="24"/>
          <w:szCs w:val="24"/>
        </w:rPr>
        <w:t>ies in each region</w:t>
      </w:r>
      <w:r w:rsidRPr="00937FEF">
        <w:rPr>
          <w:rFonts w:cs="Times New Roman"/>
          <w:sz w:val="24"/>
          <w:szCs w:val="24"/>
        </w:rPr>
        <w:t xml:space="preserve">. These groups met quarterly to compare notes on their progress, or lack thereof, </w:t>
      </w:r>
      <w:r>
        <w:rPr>
          <w:rFonts w:cs="Times New Roman"/>
          <w:sz w:val="24"/>
          <w:szCs w:val="24"/>
        </w:rPr>
        <w:t xml:space="preserve">share </w:t>
      </w:r>
      <w:r w:rsidRPr="00937FEF">
        <w:rPr>
          <w:rFonts w:cs="Times New Roman"/>
          <w:sz w:val="24"/>
          <w:szCs w:val="24"/>
        </w:rPr>
        <w:t xml:space="preserve">their difficulties, and offer expertise. Each </w:t>
      </w:r>
      <w:r>
        <w:rPr>
          <w:rFonts w:cs="Times New Roman"/>
          <w:sz w:val="24"/>
          <w:szCs w:val="24"/>
        </w:rPr>
        <w:t>CEO</w:t>
      </w:r>
      <w:r w:rsidRPr="00937FEF">
        <w:rPr>
          <w:rFonts w:cs="Times New Roman"/>
          <w:sz w:val="24"/>
          <w:szCs w:val="24"/>
        </w:rPr>
        <w:t xml:space="preserve"> had to stand up in front of </w:t>
      </w:r>
      <w:r>
        <w:rPr>
          <w:rFonts w:cs="Times New Roman"/>
          <w:sz w:val="24"/>
          <w:szCs w:val="24"/>
        </w:rPr>
        <w:t>their</w:t>
      </w:r>
      <w:r w:rsidRPr="00937FEF">
        <w:rPr>
          <w:rFonts w:cs="Times New Roman"/>
          <w:sz w:val="24"/>
          <w:szCs w:val="24"/>
        </w:rPr>
        <w:t xml:space="preserve"> peers and highlight improvements</w:t>
      </w:r>
      <w:r>
        <w:rPr>
          <w:rFonts w:cs="Times New Roman"/>
          <w:sz w:val="24"/>
          <w:szCs w:val="24"/>
        </w:rPr>
        <w:t xml:space="preserve">, which </w:t>
      </w:r>
      <w:r w:rsidRPr="00937FEF">
        <w:rPr>
          <w:rFonts w:cs="Times New Roman"/>
          <w:sz w:val="24"/>
          <w:szCs w:val="24"/>
        </w:rPr>
        <w:t xml:space="preserve">created </w:t>
      </w:r>
      <w:r>
        <w:rPr>
          <w:rFonts w:cs="Times New Roman"/>
          <w:sz w:val="24"/>
          <w:szCs w:val="24"/>
        </w:rPr>
        <w:t xml:space="preserve">peer </w:t>
      </w:r>
      <w:r w:rsidRPr="00937FEF">
        <w:rPr>
          <w:rFonts w:cs="Times New Roman"/>
          <w:sz w:val="24"/>
          <w:szCs w:val="24"/>
        </w:rPr>
        <w:t xml:space="preserve">pressure </w:t>
      </w:r>
      <w:r>
        <w:rPr>
          <w:rFonts w:cs="Times New Roman"/>
          <w:sz w:val="24"/>
          <w:szCs w:val="24"/>
        </w:rPr>
        <w:t>for any</w:t>
      </w:r>
      <w:r w:rsidRPr="00937FEF">
        <w:rPr>
          <w:rFonts w:cs="Times New Roman"/>
          <w:sz w:val="24"/>
          <w:szCs w:val="24"/>
        </w:rPr>
        <w:t xml:space="preserve"> CEO with nothing to say. Thus, each CEO asked </w:t>
      </w:r>
      <w:r>
        <w:rPr>
          <w:rFonts w:cs="Times New Roman"/>
          <w:sz w:val="24"/>
          <w:szCs w:val="24"/>
        </w:rPr>
        <w:t>its</w:t>
      </w:r>
      <w:r w:rsidRPr="00937FEF">
        <w:rPr>
          <w:rFonts w:cs="Times New Roman"/>
          <w:sz w:val="24"/>
          <w:szCs w:val="24"/>
        </w:rPr>
        <w:t xml:space="preserve"> employees at least quarterly for feedback on how they were implementing the code. These meetings quickly became a </w:t>
      </w:r>
      <w:r>
        <w:rPr>
          <w:rFonts w:cs="Times New Roman"/>
          <w:sz w:val="24"/>
          <w:szCs w:val="24"/>
        </w:rPr>
        <w:t xml:space="preserve">forum for </w:t>
      </w:r>
      <w:r w:rsidRPr="00937FEF">
        <w:rPr>
          <w:rFonts w:cs="Times New Roman"/>
          <w:sz w:val="24"/>
          <w:szCs w:val="24"/>
        </w:rPr>
        <w:t>trading advice</w:t>
      </w:r>
      <w:r>
        <w:rPr>
          <w:rFonts w:cs="Times New Roman"/>
          <w:sz w:val="24"/>
          <w:szCs w:val="24"/>
        </w:rPr>
        <w:t xml:space="preserve"> and </w:t>
      </w:r>
      <w:r w:rsidRPr="00937FEF">
        <w:rPr>
          <w:rFonts w:cs="Times New Roman"/>
          <w:sz w:val="24"/>
          <w:szCs w:val="24"/>
        </w:rPr>
        <w:t>report</w:t>
      </w:r>
      <w:r>
        <w:rPr>
          <w:rFonts w:cs="Times New Roman"/>
          <w:sz w:val="24"/>
          <w:szCs w:val="24"/>
        </w:rPr>
        <w:t>ing</w:t>
      </w:r>
      <w:r w:rsidRPr="00937FEF">
        <w:rPr>
          <w:rFonts w:cs="Times New Roman"/>
          <w:sz w:val="24"/>
          <w:szCs w:val="24"/>
        </w:rPr>
        <w:t xml:space="preserve"> on progress.</w:t>
      </w:r>
      <w:r>
        <w:rPr>
          <w:rFonts w:cs="Times New Roman"/>
          <w:sz w:val="24"/>
          <w:szCs w:val="24"/>
        </w:rPr>
        <w:t xml:space="preserve"> To deal with potential free riders, </w:t>
      </w:r>
      <w:r w:rsidRPr="00937FEF">
        <w:rPr>
          <w:rFonts w:cs="Times New Roman"/>
          <w:bCs/>
          <w:sz w:val="24"/>
          <w:szCs w:val="24"/>
        </w:rPr>
        <w:t xml:space="preserve">Responsible Care </w:t>
      </w:r>
      <w:r>
        <w:rPr>
          <w:rFonts w:cs="Times New Roman"/>
          <w:bCs/>
          <w:sz w:val="24"/>
          <w:szCs w:val="24"/>
        </w:rPr>
        <w:t>opted for the possibility of</w:t>
      </w:r>
      <w:r w:rsidRPr="00937FEF">
        <w:rPr>
          <w:rFonts w:cs="Times New Roman"/>
          <w:sz w:val="24"/>
          <w:szCs w:val="24"/>
        </w:rPr>
        <w:t xml:space="preserve"> exclud</w:t>
      </w:r>
      <w:r>
        <w:rPr>
          <w:rFonts w:cs="Times New Roman"/>
          <w:sz w:val="24"/>
          <w:szCs w:val="24"/>
        </w:rPr>
        <w:t>ing</w:t>
      </w:r>
      <w:r w:rsidRPr="00937FEF">
        <w:rPr>
          <w:rFonts w:cs="Times New Roman"/>
          <w:sz w:val="24"/>
          <w:szCs w:val="24"/>
        </w:rPr>
        <w:t xml:space="preserve"> members from the group</w:t>
      </w:r>
      <w:r>
        <w:rPr>
          <w:rFonts w:cs="Times New Roman"/>
          <w:sz w:val="24"/>
          <w:szCs w:val="24"/>
        </w:rPr>
        <w:t>, which</w:t>
      </w:r>
      <w:r w:rsidRPr="00937FEF">
        <w:rPr>
          <w:rFonts w:cs="Times New Roman"/>
          <w:sz w:val="24"/>
          <w:szCs w:val="24"/>
        </w:rPr>
        <w:t xml:space="preserve"> </w:t>
      </w:r>
      <w:r>
        <w:rPr>
          <w:rFonts w:cs="Times New Roman"/>
          <w:sz w:val="24"/>
          <w:szCs w:val="24"/>
        </w:rPr>
        <w:t xml:space="preserve">proved </w:t>
      </w:r>
      <w:r w:rsidRPr="00937FEF">
        <w:rPr>
          <w:rFonts w:cs="Times New Roman"/>
          <w:sz w:val="24"/>
          <w:szCs w:val="24"/>
        </w:rPr>
        <w:t xml:space="preserve">to be an efficient sanction tool. </w:t>
      </w:r>
      <w:r>
        <w:rPr>
          <w:rFonts w:cs="Times New Roman"/>
          <w:sz w:val="24"/>
          <w:szCs w:val="24"/>
        </w:rPr>
        <w:t>Being excluded from Responsible Care would be an argument against a former member in the event of an environmental or societal legal action against them</w:t>
      </w:r>
      <w:r w:rsidRPr="00937FEF">
        <w:rPr>
          <w:rFonts w:cs="Times New Roman"/>
          <w:sz w:val="24"/>
          <w:szCs w:val="24"/>
        </w:rPr>
        <w:t xml:space="preserve">. The </w:t>
      </w:r>
      <w:r w:rsidRPr="00937FEF">
        <w:rPr>
          <w:rFonts w:cs="Times New Roman"/>
          <w:sz w:val="24"/>
          <w:szCs w:val="24"/>
        </w:rPr>
        <w:lastRenderedPageBreak/>
        <w:t>value</w:t>
      </w:r>
      <w:r>
        <w:rPr>
          <w:rFonts w:cs="Times New Roman"/>
          <w:sz w:val="24"/>
          <w:szCs w:val="24"/>
        </w:rPr>
        <w:t>-</w:t>
      </w:r>
      <w:r w:rsidRPr="00937FEF">
        <w:rPr>
          <w:rFonts w:cs="Times New Roman"/>
          <w:sz w:val="24"/>
          <w:szCs w:val="24"/>
        </w:rPr>
        <w:t>added of being part of Responsible Care made the potential sanction of exclusion a real threat</w:t>
      </w:r>
      <w:r>
        <w:rPr>
          <w:rFonts w:cs="Times New Roman"/>
          <w:sz w:val="24"/>
          <w:szCs w:val="24"/>
        </w:rPr>
        <w:t>.</w:t>
      </w:r>
    </w:p>
    <w:p w14:paraId="17BF065F" w14:textId="77777777" w:rsidR="00DD4AD1" w:rsidRPr="00937FEF" w:rsidRDefault="00DD4AD1" w:rsidP="00DD4AD1">
      <w:pPr>
        <w:rPr>
          <w:rFonts w:cs="Times New Roman"/>
          <w:sz w:val="24"/>
          <w:szCs w:val="24"/>
        </w:rPr>
      </w:pPr>
      <w:r w:rsidRPr="00937FEF">
        <w:rPr>
          <w:rFonts w:cs="Times New Roman"/>
          <w:sz w:val="24"/>
          <w:szCs w:val="24"/>
        </w:rPr>
        <w:t xml:space="preserve">SEMATECH </w:t>
      </w:r>
      <w:r>
        <w:rPr>
          <w:rFonts w:cs="Times New Roman"/>
          <w:sz w:val="24"/>
          <w:szCs w:val="24"/>
        </w:rPr>
        <w:t xml:space="preserve">opted to have industry leaders serve as its leader. </w:t>
      </w:r>
      <w:r w:rsidRPr="00157491">
        <w:rPr>
          <w:rFonts w:cs="Times New Roman"/>
          <w:sz w:val="24"/>
          <w:szCs w:val="24"/>
        </w:rPr>
        <w:t>Robert Noyce, founder of Intel, w</w:t>
      </w:r>
      <w:r w:rsidRPr="00CC6943">
        <w:rPr>
          <w:rFonts w:cs="Times New Roman"/>
          <w:sz w:val="24"/>
          <w:szCs w:val="24"/>
        </w:rPr>
        <w:t xml:space="preserve">as the first president and CEO; Charles </w:t>
      </w:r>
      <w:proofErr w:type="spellStart"/>
      <w:r w:rsidRPr="00CC6943">
        <w:rPr>
          <w:rFonts w:cs="Times New Roman"/>
          <w:sz w:val="24"/>
          <w:szCs w:val="24"/>
        </w:rPr>
        <w:t>Sporck</w:t>
      </w:r>
      <w:proofErr w:type="spellEnd"/>
      <w:r w:rsidRPr="00CC6943">
        <w:rPr>
          <w:rFonts w:cs="Times New Roman"/>
          <w:sz w:val="24"/>
          <w:szCs w:val="24"/>
        </w:rPr>
        <w:t xml:space="preserve">, </w:t>
      </w:r>
      <w:r w:rsidRPr="00157491">
        <w:rPr>
          <w:rFonts w:cs="Times New Roman"/>
          <w:sz w:val="24"/>
          <w:szCs w:val="24"/>
        </w:rPr>
        <w:t xml:space="preserve">former </w:t>
      </w:r>
      <w:r w:rsidRPr="002F3A10">
        <w:rPr>
          <w:rFonts w:cs="Times New Roman"/>
          <w:sz w:val="24"/>
          <w:szCs w:val="24"/>
        </w:rPr>
        <w:t>general manager of Fairchild Semiconductor</w:t>
      </w:r>
      <w:r w:rsidRPr="00157491">
        <w:rPr>
          <w:rFonts w:cs="Times New Roman"/>
          <w:sz w:val="24"/>
          <w:szCs w:val="24"/>
        </w:rPr>
        <w:t>, was called the “</w:t>
      </w:r>
      <w:r w:rsidRPr="00CC6943">
        <w:rPr>
          <w:rFonts w:cs="Times New Roman"/>
          <w:sz w:val="24"/>
          <w:szCs w:val="24"/>
        </w:rPr>
        <w:t>father of SEMATECH.” They devoted</w:t>
      </w:r>
      <w:r w:rsidRPr="002F3A10">
        <w:rPr>
          <w:rFonts w:cs="Times New Roman"/>
          <w:sz w:val="24"/>
          <w:szCs w:val="24"/>
        </w:rPr>
        <w:t xml:space="preserve"> </w:t>
      </w:r>
      <w:r w:rsidRPr="00937FEF">
        <w:rPr>
          <w:rFonts w:cs="Times New Roman"/>
          <w:sz w:val="24"/>
          <w:szCs w:val="24"/>
        </w:rPr>
        <w:t>time and effort to creat</w:t>
      </w:r>
      <w:r>
        <w:rPr>
          <w:rFonts w:cs="Times New Roman"/>
          <w:sz w:val="24"/>
          <w:szCs w:val="24"/>
        </w:rPr>
        <w:t>e</w:t>
      </w:r>
      <w:r w:rsidRPr="00937FEF">
        <w:rPr>
          <w:rFonts w:cs="Times New Roman"/>
          <w:sz w:val="24"/>
          <w:szCs w:val="24"/>
        </w:rPr>
        <w:t xml:space="preserve"> the </w:t>
      </w:r>
      <w:r>
        <w:rPr>
          <w:rFonts w:cs="Times New Roman"/>
          <w:sz w:val="24"/>
          <w:szCs w:val="24"/>
        </w:rPr>
        <w:t>consortium</w:t>
      </w:r>
      <w:r w:rsidRPr="00937FEF">
        <w:rPr>
          <w:rFonts w:cs="Times New Roman"/>
          <w:sz w:val="24"/>
          <w:szCs w:val="24"/>
        </w:rPr>
        <w:t xml:space="preserve">. </w:t>
      </w:r>
      <w:r>
        <w:rPr>
          <w:rFonts w:cs="Times New Roman"/>
          <w:sz w:val="24"/>
          <w:szCs w:val="24"/>
        </w:rPr>
        <w:t>T</w:t>
      </w:r>
      <w:r w:rsidRPr="00937FEF">
        <w:rPr>
          <w:rFonts w:cs="Times New Roman"/>
          <w:sz w:val="24"/>
          <w:szCs w:val="24"/>
        </w:rPr>
        <w:t xml:space="preserve">he opportunity to collaborate with </w:t>
      </w:r>
      <w:r>
        <w:rPr>
          <w:rFonts w:cs="Times New Roman"/>
          <w:sz w:val="24"/>
          <w:szCs w:val="24"/>
        </w:rPr>
        <w:t xml:space="preserve">such </w:t>
      </w:r>
      <w:r w:rsidRPr="00937FEF">
        <w:rPr>
          <w:rFonts w:cs="Times New Roman"/>
          <w:sz w:val="24"/>
          <w:szCs w:val="24"/>
        </w:rPr>
        <w:t xml:space="preserve">widely respected </w:t>
      </w:r>
      <w:r>
        <w:rPr>
          <w:rFonts w:cs="Times New Roman"/>
          <w:sz w:val="24"/>
          <w:szCs w:val="24"/>
        </w:rPr>
        <w:t>individuals</w:t>
      </w:r>
      <w:r w:rsidRPr="00937FEF">
        <w:rPr>
          <w:rFonts w:cs="Times New Roman"/>
          <w:sz w:val="24"/>
          <w:szCs w:val="24"/>
        </w:rPr>
        <w:t xml:space="preserve"> </w:t>
      </w:r>
      <w:r>
        <w:rPr>
          <w:rFonts w:cs="Times New Roman"/>
          <w:sz w:val="24"/>
          <w:szCs w:val="24"/>
        </w:rPr>
        <w:t xml:space="preserve">in the industry </w:t>
      </w:r>
      <w:r w:rsidRPr="00937FEF">
        <w:rPr>
          <w:rFonts w:cs="Times New Roman"/>
          <w:noProof/>
          <w:sz w:val="24"/>
          <w:szCs w:val="24"/>
        </w:rPr>
        <w:t>attract</w:t>
      </w:r>
      <w:r>
        <w:rPr>
          <w:rFonts w:cs="Times New Roman"/>
          <w:noProof/>
          <w:sz w:val="24"/>
          <w:szCs w:val="24"/>
        </w:rPr>
        <w:t>ed</w:t>
      </w:r>
      <w:r w:rsidRPr="00937FEF">
        <w:rPr>
          <w:rFonts w:cs="Times New Roman"/>
          <w:sz w:val="24"/>
          <w:szCs w:val="24"/>
        </w:rPr>
        <w:t xml:space="preserve"> members and </w:t>
      </w:r>
      <w:r>
        <w:rPr>
          <w:rFonts w:cs="Times New Roman"/>
          <w:sz w:val="24"/>
          <w:szCs w:val="24"/>
        </w:rPr>
        <w:t>resulted in</w:t>
      </w:r>
      <w:r w:rsidRPr="00937FEF">
        <w:rPr>
          <w:rFonts w:cs="Times New Roman"/>
          <w:sz w:val="24"/>
          <w:szCs w:val="24"/>
        </w:rPr>
        <w:t xml:space="preserve"> greater commitment</w:t>
      </w:r>
      <w:r>
        <w:rPr>
          <w:rFonts w:cs="Times New Roman"/>
          <w:sz w:val="24"/>
          <w:szCs w:val="24"/>
        </w:rPr>
        <w:t>.</w:t>
      </w:r>
      <w:r w:rsidRPr="00937FEF">
        <w:rPr>
          <w:rFonts w:cs="Times New Roman"/>
          <w:sz w:val="24"/>
          <w:szCs w:val="24"/>
        </w:rPr>
        <w:t xml:space="preserve"> SEMATECH </w:t>
      </w:r>
      <w:r>
        <w:rPr>
          <w:rFonts w:cs="Times New Roman"/>
          <w:sz w:val="24"/>
          <w:szCs w:val="24"/>
        </w:rPr>
        <w:t xml:space="preserve">dealt with naysayers strategically by giving </w:t>
      </w:r>
      <w:r w:rsidRPr="00937FEF">
        <w:rPr>
          <w:rFonts w:cs="Times New Roman"/>
          <w:sz w:val="24"/>
          <w:szCs w:val="24"/>
        </w:rPr>
        <w:t>the</w:t>
      </w:r>
      <w:r>
        <w:rPr>
          <w:rFonts w:cs="Times New Roman"/>
          <w:sz w:val="24"/>
          <w:szCs w:val="24"/>
        </w:rPr>
        <w:t>m</w:t>
      </w:r>
      <w:r w:rsidRPr="00937FEF">
        <w:rPr>
          <w:rFonts w:cs="Times New Roman"/>
          <w:sz w:val="24"/>
          <w:szCs w:val="24"/>
        </w:rPr>
        <w:t xml:space="preserve"> responsibility for key issues. For example, </w:t>
      </w:r>
      <w:r>
        <w:rPr>
          <w:rFonts w:cs="Times New Roman"/>
          <w:sz w:val="24"/>
          <w:szCs w:val="24"/>
        </w:rPr>
        <w:t>rather than</w:t>
      </w:r>
      <w:r w:rsidRPr="00937FEF">
        <w:rPr>
          <w:rFonts w:cs="Times New Roman"/>
          <w:sz w:val="24"/>
          <w:szCs w:val="24"/>
        </w:rPr>
        <w:t xml:space="preserve"> asking technical experts to share knowledge to develop </w:t>
      </w:r>
      <w:r w:rsidRPr="00937FEF">
        <w:rPr>
          <w:rFonts w:cs="Times New Roman"/>
          <w:noProof/>
          <w:sz w:val="24"/>
          <w:szCs w:val="24"/>
        </w:rPr>
        <w:t>common</w:t>
      </w:r>
      <w:r w:rsidRPr="00937FEF">
        <w:rPr>
          <w:rFonts w:cs="Times New Roman"/>
          <w:sz w:val="24"/>
          <w:szCs w:val="24"/>
        </w:rPr>
        <w:t xml:space="preserve"> technical standards, SEMATECH</w:t>
      </w:r>
      <w:r>
        <w:rPr>
          <w:rFonts w:cs="Times New Roman"/>
          <w:sz w:val="24"/>
          <w:szCs w:val="24"/>
        </w:rPr>
        <w:t>’s leaders</w:t>
      </w:r>
      <w:r w:rsidRPr="00937FEF">
        <w:rPr>
          <w:rFonts w:cs="Times New Roman"/>
          <w:sz w:val="24"/>
          <w:szCs w:val="24"/>
        </w:rPr>
        <w:t xml:space="preserve"> created </w:t>
      </w:r>
      <w:r w:rsidRPr="00937FEF">
        <w:rPr>
          <w:rFonts w:cs="Times New Roman"/>
          <w:noProof/>
          <w:sz w:val="24"/>
          <w:szCs w:val="24"/>
        </w:rPr>
        <w:t>the first</w:t>
      </w:r>
      <w:r w:rsidRPr="00937FEF">
        <w:rPr>
          <w:rFonts w:cs="Times New Roman"/>
          <w:sz w:val="24"/>
          <w:szCs w:val="24"/>
        </w:rPr>
        <w:t xml:space="preserve"> version of a standard and asked the technical experts to criticize and improve it</w:t>
      </w:r>
      <w:r>
        <w:rPr>
          <w:rFonts w:cs="Times New Roman"/>
          <w:sz w:val="24"/>
          <w:szCs w:val="24"/>
        </w:rPr>
        <w:t xml:space="preserve">. </w:t>
      </w:r>
    </w:p>
    <w:p w14:paraId="16642A0E" w14:textId="77777777" w:rsidR="00DD4AD1" w:rsidRDefault="00DD4AD1" w:rsidP="00DD4AD1">
      <w:r>
        <w:rPr>
          <w:rFonts w:cs="Times New Roman"/>
          <w:sz w:val="24"/>
          <w:szCs w:val="24"/>
        </w:rPr>
        <w:t>SEMATECH</w:t>
      </w:r>
      <w:r w:rsidRPr="00937FEF">
        <w:rPr>
          <w:rFonts w:cs="Times New Roman"/>
          <w:sz w:val="24"/>
          <w:szCs w:val="24"/>
        </w:rPr>
        <w:t xml:space="preserve"> </w:t>
      </w:r>
      <w:r>
        <w:rPr>
          <w:rFonts w:cs="Times New Roman"/>
          <w:sz w:val="24"/>
          <w:szCs w:val="24"/>
        </w:rPr>
        <w:t xml:space="preserve">also had to address members’ </w:t>
      </w:r>
      <w:r w:rsidRPr="00937FEF">
        <w:rPr>
          <w:rFonts w:cs="Times New Roman"/>
          <w:sz w:val="24"/>
          <w:szCs w:val="24"/>
        </w:rPr>
        <w:t xml:space="preserve">fear of sharing knowledge between competing firms. </w:t>
      </w:r>
      <w:r>
        <w:rPr>
          <w:rFonts w:cs="Times New Roman"/>
          <w:sz w:val="24"/>
          <w:szCs w:val="24"/>
        </w:rPr>
        <w:t>The consortium</w:t>
      </w:r>
      <w:r w:rsidRPr="00937FEF">
        <w:rPr>
          <w:rFonts w:cs="Times New Roman"/>
          <w:sz w:val="24"/>
          <w:szCs w:val="24"/>
        </w:rPr>
        <w:t xml:space="preserve"> managers </w:t>
      </w:r>
      <w:r>
        <w:rPr>
          <w:rFonts w:cs="Times New Roman"/>
          <w:sz w:val="24"/>
          <w:szCs w:val="24"/>
        </w:rPr>
        <w:t>en</w:t>
      </w:r>
      <w:r w:rsidRPr="00937FEF">
        <w:rPr>
          <w:rFonts w:cs="Times New Roman"/>
          <w:sz w:val="24"/>
          <w:szCs w:val="24"/>
        </w:rPr>
        <w:t>sure</w:t>
      </w:r>
      <w:r>
        <w:rPr>
          <w:rFonts w:cs="Times New Roman"/>
          <w:sz w:val="24"/>
          <w:szCs w:val="24"/>
        </w:rPr>
        <w:t>d</w:t>
      </w:r>
      <w:r w:rsidRPr="00937FEF">
        <w:rPr>
          <w:rFonts w:cs="Times New Roman"/>
          <w:sz w:val="24"/>
          <w:szCs w:val="24"/>
        </w:rPr>
        <w:t xml:space="preserve"> that everyone understood that the meetings had a problem-solving orientation and that</w:t>
      </w:r>
      <w:r>
        <w:rPr>
          <w:rFonts w:cs="Times New Roman"/>
          <w:sz w:val="24"/>
          <w:szCs w:val="24"/>
        </w:rPr>
        <w:t xml:space="preserve"> participants needed</w:t>
      </w:r>
      <w:r w:rsidRPr="00937FEF">
        <w:rPr>
          <w:rFonts w:cs="Times New Roman"/>
          <w:sz w:val="24"/>
          <w:szCs w:val="24"/>
        </w:rPr>
        <w:t xml:space="preserve"> </w:t>
      </w:r>
      <w:r>
        <w:rPr>
          <w:rFonts w:cs="Times New Roman"/>
          <w:sz w:val="24"/>
          <w:szCs w:val="24"/>
        </w:rPr>
        <w:t>only general knowledge</w:t>
      </w:r>
      <w:r w:rsidRPr="00937FEF">
        <w:rPr>
          <w:rFonts w:cs="Times New Roman"/>
          <w:sz w:val="24"/>
          <w:szCs w:val="24"/>
        </w:rPr>
        <w:t xml:space="preserve"> </w:t>
      </w:r>
      <w:r>
        <w:rPr>
          <w:rFonts w:cs="Times New Roman"/>
          <w:sz w:val="24"/>
          <w:szCs w:val="24"/>
        </w:rPr>
        <w:t xml:space="preserve">for problem </w:t>
      </w:r>
      <w:r w:rsidRPr="00937FEF">
        <w:rPr>
          <w:rFonts w:cs="Times New Roman"/>
          <w:sz w:val="24"/>
          <w:szCs w:val="24"/>
        </w:rPr>
        <w:t>solv</w:t>
      </w:r>
      <w:r>
        <w:rPr>
          <w:rFonts w:cs="Times New Roman"/>
          <w:sz w:val="24"/>
          <w:szCs w:val="24"/>
        </w:rPr>
        <w:t>ing</w:t>
      </w:r>
      <w:r w:rsidRPr="00937FEF">
        <w:rPr>
          <w:rFonts w:cs="Times New Roman"/>
          <w:sz w:val="24"/>
          <w:szCs w:val="24"/>
        </w:rPr>
        <w:t xml:space="preserve">. </w:t>
      </w:r>
      <w:r>
        <w:rPr>
          <w:rFonts w:cs="Times New Roman"/>
          <w:sz w:val="24"/>
          <w:szCs w:val="24"/>
        </w:rPr>
        <w:t xml:space="preserve">SEMATECH </w:t>
      </w:r>
      <w:r w:rsidRPr="00937FEF">
        <w:rPr>
          <w:rFonts w:cs="Times New Roman"/>
          <w:sz w:val="24"/>
          <w:szCs w:val="24"/>
        </w:rPr>
        <w:t xml:space="preserve">organized meetings to get a consensus on what </w:t>
      </w:r>
      <w:r>
        <w:rPr>
          <w:rFonts w:cs="Times New Roman"/>
          <w:sz w:val="24"/>
          <w:szCs w:val="24"/>
        </w:rPr>
        <w:t xml:space="preserve">was </w:t>
      </w:r>
      <w:r w:rsidRPr="00937FEF">
        <w:rPr>
          <w:rFonts w:cs="Times New Roman"/>
          <w:sz w:val="24"/>
          <w:szCs w:val="24"/>
        </w:rPr>
        <w:t xml:space="preserve">generic knowledge </w:t>
      </w:r>
      <w:r>
        <w:rPr>
          <w:rFonts w:cs="Times New Roman"/>
          <w:sz w:val="24"/>
          <w:szCs w:val="24"/>
        </w:rPr>
        <w:t xml:space="preserve">and what </w:t>
      </w:r>
      <w:r w:rsidRPr="00937FEF">
        <w:rPr>
          <w:rFonts w:cs="Times New Roman"/>
          <w:sz w:val="24"/>
          <w:szCs w:val="24"/>
        </w:rPr>
        <w:t xml:space="preserve">they could </w:t>
      </w:r>
      <w:r>
        <w:rPr>
          <w:rFonts w:cs="Times New Roman"/>
          <w:sz w:val="24"/>
          <w:szCs w:val="24"/>
        </w:rPr>
        <w:t xml:space="preserve">share </w:t>
      </w:r>
      <w:r w:rsidRPr="00937FEF">
        <w:rPr>
          <w:rFonts w:cs="Times New Roman"/>
          <w:sz w:val="24"/>
          <w:szCs w:val="24"/>
        </w:rPr>
        <w:t xml:space="preserve">openly. Conscious of the fact that more strategic knowledge might need to be shared from time to time, </w:t>
      </w:r>
      <w:r>
        <w:rPr>
          <w:rFonts w:cs="Times New Roman"/>
          <w:sz w:val="24"/>
          <w:szCs w:val="24"/>
        </w:rPr>
        <w:t>SEMATECH</w:t>
      </w:r>
      <w:r w:rsidRPr="00937FEF">
        <w:rPr>
          <w:rFonts w:cs="Times New Roman"/>
          <w:sz w:val="24"/>
          <w:szCs w:val="24"/>
        </w:rPr>
        <w:t xml:space="preserve"> </w:t>
      </w:r>
      <w:r>
        <w:rPr>
          <w:rFonts w:cs="Times New Roman"/>
          <w:sz w:val="24"/>
          <w:szCs w:val="24"/>
        </w:rPr>
        <w:t xml:space="preserve">instituted </w:t>
      </w:r>
      <w:r w:rsidRPr="00937FEF">
        <w:rPr>
          <w:rFonts w:cs="Times New Roman"/>
          <w:sz w:val="24"/>
          <w:szCs w:val="24"/>
        </w:rPr>
        <w:t>breaks during meeting</w:t>
      </w:r>
      <w:r>
        <w:rPr>
          <w:rFonts w:cs="Times New Roman"/>
          <w:sz w:val="24"/>
          <w:szCs w:val="24"/>
        </w:rPr>
        <w:t>s</w:t>
      </w:r>
      <w:r w:rsidRPr="00937FEF">
        <w:rPr>
          <w:rFonts w:cs="Times New Roman"/>
          <w:sz w:val="24"/>
          <w:szCs w:val="24"/>
        </w:rPr>
        <w:t xml:space="preserve"> </w:t>
      </w:r>
      <w:r>
        <w:rPr>
          <w:rFonts w:cs="Times New Roman"/>
          <w:sz w:val="24"/>
          <w:szCs w:val="24"/>
        </w:rPr>
        <w:t>so</w:t>
      </w:r>
      <w:r w:rsidRPr="00937FEF">
        <w:rPr>
          <w:rFonts w:cs="Times New Roman"/>
          <w:sz w:val="24"/>
          <w:szCs w:val="24"/>
        </w:rPr>
        <w:t xml:space="preserve"> members </w:t>
      </w:r>
      <w:r>
        <w:rPr>
          <w:rFonts w:cs="Times New Roman"/>
          <w:sz w:val="24"/>
          <w:szCs w:val="24"/>
        </w:rPr>
        <w:t xml:space="preserve">could </w:t>
      </w:r>
      <w:r w:rsidRPr="00937FEF">
        <w:rPr>
          <w:rFonts w:cs="Times New Roman"/>
          <w:sz w:val="24"/>
          <w:szCs w:val="24"/>
        </w:rPr>
        <w:t xml:space="preserve">call their headquarters </w:t>
      </w:r>
      <w:r>
        <w:rPr>
          <w:rFonts w:cs="Times New Roman"/>
          <w:sz w:val="24"/>
          <w:szCs w:val="24"/>
        </w:rPr>
        <w:t>to</w:t>
      </w:r>
      <w:r w:rsidRPr="00937FEF">
        <w:rPr>
          <w:rFonts w:cs="Times New Roman"/>
          <w:sz w:val="24"/>
          <w:szCs w:val="24"/>
        </w:rPr>
        <w:t xml:space="preserve"> get permission to share the knowledge. </w:t>
      </w:r>
    </w:p>
    <w:p w14:paraId="1BAE0FC3" w14:textId="77777777" w:rsidR="00DD4AD1" w:rsidRPr="000B7FF7" w:rsidRDefault="00DD4AD1" w:rsidP="00DD4AD1">
      <w:pPr>
        <w:rPr>
          <w:b/>
          <w:bCs/>
          <w:i/>
          <w:iCs/>
        </w:rPr>
      </w:pPr>
      <w:bookmarkStart w:id="4" w:name="_Hlk26541519"/>
      <w:r w:rsidRPr="000B7FF7">
        <w:rPr>
          <w:b/>
          <w:bCs/>
          <w:i/>
          <w:iCs/>
        </w:rPr>
        <w:t>Transforming</w:t>
      </w:r>
    </w:p>
    <w:p w14:paraId="7F9F79E9" w14:textId="77777777" w:rsidR="00DD4AD1" w:rsidRPr="00941B0B" w:rsidRDefault="00DD4AD1" w:rsidP="00DD4AD1">
      <w:bookmarkStart w:id="5" w:name="_Hlk26535024"/>
      <w:r>
        <w:t>T</w:t>
      </w:r>
      <w:r w:rsidRPr="00941B0B">
        <w:t xml:space="preserve">ransforming consists </w:t>
      </w:r>
      <w:r>
        <w:t xml:space="preserve">of </w:t>
      </w:r>
      <w:r w:rsidRPr="00941B0B">
        <w:t xml:space="preserve">upgrading </w:t>
      </w:r>
      <w:r>
        <w:t>an</w:t>
      </w:r>
      <w:r w:rsidRPr="00941B0B">
        <w:t xml:space="preserve"> organization </w:t>
      </w:r>
      <w:r>
        <w:t>to</w:t>
      </w:r>
      <w:r w:rsidRPr="00941B0B">
        <w:t xml:space="preserve"> a structure that sustains and supports the implementation of responses to new opportunities and threats. Each industry model used different tactics to </w:t>
      </w:r>
      <w:r>
        <w:t xml:space="preserve">keep abreast of </w:t>
      </w:r>
      <w:r w:rsidRPr="00941B0B">
        <w:t xml:space="preserve">new risks related to the technology </w:t>
      </w:r>
      <w:r>
        <w:t>and</w:t>
      </w:r>
      <w:r w:rsidRPr="00941B0B">
        <w:t xml:space="preserve"> improv</w:t>
      </w:r>
      <w:r>
        <w:t>e</w:t>
      </w:r>
      <w:r w:rsidRPr="00941B0B">
        <w:t xml:space="preserve"> the solution</w:t>
      </w:r>
      <w:r>
        <w:t>s</w:t>
      </w:r>
      <w:r w:rsidRPr="00941B0B">
        <w:t xml:space="preserve"> developed. They all aimed for a process that reinforced practices each time </w:t>
      </w:r>
      <w:r>
        <w:t>a</w:t>
      </w:r>
      <w:r w:rsidRPr="00941B0B">
        <w:t xml:space="preserve"> member shared useful information</w:t>
      </w:r>
      <w:r>
        <w:t>.</w:t>
      </w:r>
      <w:r w:rsidRPr="00941B0B">
        <w:t xml:space="preserve"> </w:t>
      </w:r>
      <w:r>
        <w:t>E</w:t>
      </w:r>
      <w:r w:rsidRPr="00941B0B">
        <w:t xml:space="preserve">ach </w:t>
      </w:r>
      <w:r>
        <w:t xml:space="preserve">industry model made different choices to </w:t>
      </w:r>
      <w:r w:rsidRPr="000B7FF7">
        <w:t>renew best practice</w:t>
      </w:r>
      <w:r>
        <w:t>s continuously.</w:t>
      </w:r>
    </w:p>
    <w:bookmarkEnd w:id="5"/>
    <w:p w14:paraId="2414EA30" w14:textId="77777777" w:rsidR="00DD4AD1" w:rsidRPr="000212A6" w:rsidRDefault="00DD4AD1" w:rsidP="00DD4AD1">
      <w:r w:rsidRPr="000212A6">
        <w:rPr>
          <w:sz w:val="24"/>
          <w:szCs w:val="24"/>
          <w:lang w:val="en-GB"/>
        </w:rPr>
        <w:t>INPO created a safety management program composed of</w:t>
      </w:r>
      <w:r>
        <w:rPr>
          <w:sz w:val="24"/>
          <w:szCs w:val="24"/>
          <w:lang w:val="en-GB"/>
        </w:rPr>
        <w:t xml:space="preserve"> </w:t>
      </w:r>
      <w:r w:rsidRPr="000212A6">
        <w:rPr>
          <w:sz w:val="24"/>
          <w:szCs w:val="24"/>
          <w:lang w:val="en-GB"/>
        </w:rPr>
        <w:t>an independent, international team of peers with extensive expertise and technical skill</w:t>
      </w:r>
      <w:r>
        <w:rPr>
          <w:sz w:val="24"/>
          <w:szCs w:val="24"/>
          <w:lang w:val="en-GB"/>
        </w:rPr>
        <w:t>s</w:t>
      </w:r>
      <w:r w:rsidRPr="000212A6">
        <w:rPr>
          <w:sz w:val="24"/>
          <w:szCs w:val="24"/>
          <w:lang w:val="en-GB"/>
        </w:rPr>
        <w:t xml:space="preserve"> in nuclear power. Each time this team offer</w:t>
      </w:r>
      <w:r>
        <w:rPr>
          <w:sz w:val="24"/>
          <w:szCs w:val="24"/>
          <w:lang w:val="en-GB"/>
        </w:rPr>
        <w:t xml:space="preserve">s </w:t>
      </w:r>
      <w:r w:rsidRPr="00BB74A2">
        <w:rPr>
          <w:sz w:val="24"/>
          <w:szCs w:val="24"/>
          <w:lang w:val="en-GB"/>
        </w:rPr>
        <w:t>detailed evaluations of nuclear power plants and help</w:t>
      </w:r>
      <w:r>
        <w:rPr>
          <w:sz w:val="24"/>
          <w:szCs w:val="24"/>
          <w:lang w:val="en-GB"/>
        </w:rPr>
        <w:t>s</w:t>
      </w:r>
      <w:r w:rsidRPr="00BB74A2">
        <w:rPr>
          <w:sz w:val="24"/>
          <w:szCs w:val="24"/>
          <w:lang w:val="en-GB"/>
        </w:rPr>
        <w:t xml:space="preserve"> nuclear power plants improve their performance, </w:t>
      </w:r>
      <w:r>
        <w:rPr>
          <w:sz w:val="24"/>
          <w:szCs w:val="24"/>
          <w:lang w:val="en-GB"/>
        </w:rPr>
        <w:t>the</w:t>
      </w:r>
      <w:r w:rsidRPr="000212A6">
        <w:rPr>
          <w:sz w:val="24"/>
          <w:szCs w:val="24"/>
          <w:lang w:val="en-GB"/>
        </w:rPr>
        <w:t xml:space="preserve"> in-depth, objective knowledge </w:t>
      </w:r>
      <w:r>
        <w:rPr>
          <w:sz w:val="24"/>
          <w:szCs w:val="24"/>
          <w:lang w:val="en-GB"/>
        </w:rPr>
        <w:t>derived</w:t>
      </w:r>
      <w:r w:rsidRPr="000212A6">
        <w:rPr>
          <w:sz w:val="24"/>
          <w:szCs w:val="24"/>
          <w:lang w:val="en-GB"/>
        </w:rPr>
        <w:t xml:space="preserve"> </w:t>
      </w:r>
      <w:r>
        <w:rPr>
          <w:sz w:val="24"/>
          <w:szCs w:val="24"/>
          <w:lang w:val="en-GB"/>
        </w:rPr>
        <w:t xml:space="preserve">from </w:t>
      </w:r>
      <w:r w:rsidRPr="000212A6">
        <w:rPr>
          <w:sz w:val="24"/>
          <w:szCs w:val="24"/>
          <w:lang w:val="en-GB"/>
        </w:rPr>
        <w:t xml:space="preserve">the evaluations </w:t>
      </w:r>
      <w:r>
        <w:rPr>
          <w:sz w:val="24"/>
          <w:szCs w:val="24"/>
          <w:lang w:val="en-GB"/>
        </w:rPr>
        <w:t>helps</w:t>
      </w:r>
      <w:r w:rsidRPr="000212A6">
        <w:rPr>
          <w:sz w:val="24"/>
          <w:szCs w:val="24"/>
          <w:lang w:val="en-GB"/>
        </w:rPr>
        <w:t xml:space="preserve"> identify new risks and new best practices. </w:t>
      </w:r>
      <w:r>
        <w:rPr>
          <w:sz w:val="24"/>
          <w:szCs w:val="24"/>
          <w:lang w:val="en-GB"/>
        </w:rPr>
        <w:t>INPO uses e</w:t>
      </w:r>
      <w:r w:rsidRPr="000212A6">
        <w:rPr>
          <w:sz w:val="24"/>
          <w:szCs w:val="24"/>
          <w:lang w:val="en-GB"/>
        </w:rPr>
        <w:t>ach new risk or best practice to improve standard operations and future evaluations of nuclear operations at each participating company. This process remains active—the Fukushima disaster in 2011 activated extensive sharing and collaboration between INPO member companies.</w:t>
      </w:r>
    </w:p>
    <w:p w14:paraId="516907BB" w14:textId="77777777" w:rsidR="00DD4AD1" w:rsidRPr="00941B0B" w:rsidRDefault="00DD4AD1" w:rsidP="00DD4AD1">
      <w:r>
        <w:t xml:space="preserve">The </w:t>
      </w:r>
      <w:r w:rsidRPr="00941B0B">
        <w:t xml:space="preserve">Responsible Care </w:t>
      </w:r>
      <w:r>
        <w:t xml:space="preserve">initiative </w:t>
      </w:r>
      <w:r w:rsidRPr="00941B0B">
        <w:t xml:space="preserve">developed codes of practice for each step in a chemical </w:t>
      </w:r>
      <w:r>
        <w:t xml:space="preserve">plant’s </w:t>
      </w:r>
      <w:r w:rsidRPr="00941B0B">
        <w:t>lifecycle</w:t>
      </w:r>
      <w:r>
        <w:t>: community awareness and emergency response, R&amp;D, manufacturing, transportation, distribution, and hazardous waste management.</w:t>
      </w:r>
      <w:r w:rsidRPr="00941B0B">
        <w:t xml:space="preserve"> </w:t>
      </w:r>
      <w:r>
        <w:t xml:space="preserve">The National Advisory Panel (NAP) comprises external environmental and labor experts who </w:t>
      </w:r>
      <w:r w:rsidRPr="00941B0B">
        <w:t xml:space="preserve">review </w:t>
      </w:r>
      <w:r>
        <w:t>the code of practices. Member companies’ CEOs</w:t>
      </w:r>
      <w:r w:rsidRPr="00941B0B">
        <w:t xml:space="preserve"> meet quarter</w:t>
      </w:r>
      <w:r>
        <w:t>ly</w:t>
      </w:r>
      <w:r w:rsidRPr="00941B0B">
        <w:t xml:space="preserve"> </w:t>
      </w:r>
      <w:r>
        <w:t>to</w:t>
      </w:r>
      <w:r w:rsidRPr="00941B0B">
        <w:t xml:space="preserve"> compare notes on their progress</w:t>
      </w:r>
      <w:r>
        <w:t xml:space="preserve">. Responsible Care went further and asked CEOs for their ideas to improve the code. Using the same mechanism of peer pressure, Responsible Care manages to renew its codes continuously. </w:t>
      </w:r>
    </w:p>
    <w:p w14:paraId="455A7809" w14:textId="77777777" w:rsidR="00DD4AD1" w:rsidRDefault="00DD4AD1" w:rsidP="00DD4AD1">
      <w:r>
        <w:rPr>
          <w:bCs/>
        </w:rPr>
        <w:t>SEMATECH</w:t>
      </w:r>
      <w:r w:rsidRPr="00941B0B">
        <w:rPr>
          <w:bCs/>
        </w:rPr>
        <w:t xml:space="preserve"> </w:t>
      </w:r>
      <w:r>
        <w:t>instituted</w:t>
      </w:r>
      <w:r w:rsidRPr="00941B0B">
        <w:t xml:space="preserve"> </w:t>
      </w:r>
      <w:r>
        <w:t xml:space="preserve">a </w:t>
      </w:r>
      <w:r w:rsidRPr="00941B0B">
        <w:t>bottom-up planning process</w:t>
      </w:r>
      <w:r>
        <w:t xml:space="preserve"> and </w:t>
      </w:r>
      <w:r w:rsidRPr="00941B0B">
        <w:t xml:space="preserve">organized a series of workshops </w:t>
      </w:r>
      <w:r>
        <w:t xml:space="preserve">to create </w:t>
      </w:r>
      <w:r w:rsidRPr="00941B0B">
        <w:t>a shared roadmap of technology development activities</w:t>
      </w:r>
      <w:r>
        <w:t xml:space="preserve">. The roadmap aimed to inform semiconductor </w:t>
      </w:r>
      <w:r>
        <w:lastRenderedPageBreak/>
        <w:t xml:space="preserve">companies and their materials and equipment suppliers about any likely new technologies required for manufacturing next-generation chips and any pieces of technology that were likely to be “showstoppers” for which intensive R&amp;D was needed. The roadmap also coordinated the required timing for their introduction. </w:t>
      </w:r>
      <w:r w:rsidRPr="00941B0B">
        <w:t xml:space="preserve">The goal was </w:t>
      </w:r>
      <w:r>
        <w:t>to create a</w:t>
      </w:r>
      <w:r w:rsidRPr="00941B0B">
        <w:t xml:space="preserve"> roadmap</w:t>
      </w:r>
      <w:r w:rsidRPr="00941B0B">
        <w:rPr>
          <w:noProof/>
        </w:rPr>
        <w:t xml:space="preserve"> </w:t>
      </w:r>
      <w:r>
        <w:rPr>
          <w:noProof/>
        </w:rPr>
        <w:t>of value for all participants, and which</w:t>
      </w:r>
      <w:r>
        <w:t xml:space="preserve"> any organization could use to set up its own development plans, prioritize investments, or discuss technology trends. </w:t>
      </w:r>
      <w:r w:rsidRPr="00941B0B">
        <w:t xml:space="preserve">Based on this </w:t>
      </w:r>
      <w:r>
        <w:t xml:space="preserve">first </w:t>
      </w:r>
      <w:r w:rsidRPr="00941B0B">
        <w:t>roadmap, 11 of the original 14-member companies agreed to extend their membership in S</w:t>
      </w:r>
      <w:r>
        <w:t>EMATECH</w:t>
      </w:r>
      <w:r w:rsidRPr="00941B0B">
        <w:t xml:space="preserve"> at the end of the first five-year period. </w:t>
      </w:r>
      <w:r>
        <w:t>T</w:t>
      </w:r>
      <w:r w:rsidRPr="00941B0B">
        <w:t>h</w:t>
      </w:r>
      <w:r>
        <w:t>e</w:t>
      </w:r>
      <w:r w:rsidRPr="00941B0B">
        <w:t xml:space="preserve"> roadmap was so successful that the Semiconductor Industry Association maintains a similar roadmap </w:t>
      </w:r>
      <w:r>
        <w:t>that it renews periodically</w:t>
      </w:r>
      <w:r w:rsidRPr="00941B0B">
        <w:t>.</w:t>
      </w:r>
      <w:r>
        <w:t xml:space="preserve"> Renewing the roadmap is a way for SEMATECH to </w:t>
      </w:r>
      <w:r w:rsidRPr="00941B0B">
        <w:t xml:space="preserve">sustain and support the implementation of responses to new </w:t>
      </w:r>
      <w:r>
        <w:t xml:space="preserve">industry </w:t>
      </w:r>
      <w:r w:rsidRPr="00941B0B">
        <w:t>opportunities and threats</w:t>
      </w:r>
      <w:r>
        <w:t>.</w:t>
      </w:r>
    </w:p>
    <w:bookmarkEnd w:id="4"/>
    <w:p w14:paraId="3ABBC8B6" w14:textId="77777777" w:rsidR="00DD4AD1" w:rsidRDefault="00DD4AD1" w:rsidP="00DD4AD1">
      <w:r>
        <w:t>Lessons for the AI Industry</w:t>
      </w:r>
    </w:p>
    <w:p w14:paraId="510FC6FB" w14:textId="77777777" w:rsidR="00DD4AD1" w:rsidRPr="007112F9" w:rsidRDefault="00DD4AD1" w:rsidP="00DD4AD1">
      <w:pPr>
        <w:rPr>
          <w:sz w:val="24"/>
          <w:szCs w:val="24"/>
        </w:rPr>
      </w:pPr>
      <w:r w:rsidRPr="007112F9">
        <w:rPr>
          <w:sz w:val="24"/>
          <w:szCs w:val="24"/>
        </w:rPr>
        <w:t xml:space="preserve">The </w:t>
      </w:r>
      <w:r>
        <w:rPr>
          <w:sz w:val="24"/>
          <w:szCs w:val="24"/>
        </w:rPr>
        <w:t>s</w:t>
      </w:r>
      <w:r w:rsidRPr="007112F9">
        <w:rPr>
          <w:sz w:val="24"/>
          <w:szCs w:val="24"/>
        </w:rPr>
        <w:t xml:space="preserve">ensing, </w:t>
      </w:r>
      <w:proofErr w:type="gramStart"/>
      <w:r>
        <w:rPr>
          <w:sz w:val="24"/>
          <w:szCs w:val="24"/>
        </w:rPr>
        <w:t>s</w:t>
      </w:r>
      <w:r w:rsidRPr="007112F9">
        <w:rPr>
          <w:sz w:val="24"/>
          <w:szCs w:val="24"/>
        </w:rPr>
        <w:t>eizing</w:t>
      </w:r>
      <w:proofErr w:type="gramEnd"/>
      <w:r w:rsidRPr="007112F9">
        <w:rPr>
          <w:sz w:val="24"/>
          <w:szCs w:val="24"/>
        </w:rPr>
        <w:t xml:space="preserve"> and </w:t>
      </w:r>
      <w:r>
        <w:rPr>
          <w:sz w:val="24"/>
          <w:szCs w:val="24"/>
        </w:rPr>
        <w:t>t</w:t>
      </w:r>
      <w:r w:rsidRPr="007112F9">
        <w:rPr>
          <w:sz w:val="24"/>
          <w:szCs w:val="24"/>
        </w:rPr>
        <w:t xml:space="preserve">ransforming portions of the Dynamic Capabilities framework applied to our three past models revealed some important implications for </w:t>
      </w:r>
      <w:r>
        <w:rPr>
          <w:sz w:val="24"/>
          <w:szCs w:val="24"/>
        </w:rPr>
        <w:t>P</w:t>
      </w:r>
      <w:r w:rsidRPr="007112F9">
        <w:rPr>
          <w:sz w:val="24"/>
          <w:szCs w:val="24"/>
        </w:rPr>
        <w:t xml:space="preserve">AI.  </w:t>
      </w:r>
    </w:p>
    <w:p w14:paraId="6551755B" w14:textId="77777777" w:rsidR="00DD4AD1" w:rsidRPr="007112F9" w:rsidRDefault="00DD4AD1" w:rsidP="00DD4AD1">
      <w:pPr>
        <w:rPr>
          <w:sz w:val="24"/>
          <w:szCs w:val="24"/>
        </w:rPr>
      </w:pPr>
      <w:r w:rsidRPr="007112F9">
        <w:rPr>
          <w:sz w:val="24"/>
          <w:szCs w:val="24"/>
        </w:rPr>
        <w:t xml:space="preserve">Concerning sensing, PAI has created educational material </w:t>
      </w:r>
      <w:r>
        <w:rPr>
          <w:sz w:val="24"/>
          <w:szCs w:val="24"/>
        </w:rPr>
        <w:t>designed to</w:t>
      </w:r>
      <w:r w:rsidRPr="007112F9">
        <w:rPr>
          <w:sz w:val="24"/>
          <w:szCs w:val="24"/>
        </w:rPr>
        <w:t xml:space="preserve"> increase public understanding of the potential benefits, costs</w:t>
      </w:r>
      <w:r>
        <w:rPr>
          <w:sz w:val="24"/>
          <w:szCs w:val="24"/>
        </w:rPr>
        <w:t>,</w:t>
      </w:r>
      <w:r w:rsidRPr="007112F9">
        <w:rPr>
          <w:sz w:val="24"/>
          <w:szCs w:val="24"/>
        </w:rPr>
        <w:t xml:space="preserve"> and progress of AI. </w:t>
      </w:r>
      <w:r>
        <w:rPr>
          <w:sz w:val="24"/>
          <w:szCs w:val="24"/>
        </w:rPr>
        <w:t>F</w:t>
      </w:r>
      <w:r w:rsidRPr="007112F9">
        <w:rPr>
          <w:sz w:val="24"/>
          <w:szCs w:val="24"/>
        </w:rPr>
        <w:t>or AI companies</w:t>
      </w:r>
      <w:r>
        <w:rPr>
          <w:sz w:val="24"/>
          <w:szCs w:val="24"/>
        </w:rPr>
        <w:t xml:space="preserve"> specifically</w:t>
      </w:r>
      <w:r w:rsidRPr="007112F9">
        <w:rPr>
          <w:sz w:val="24"/>
          <w:szCs w:val="24"/>
        </w:rPr>
        <w:t>, PAI is developing education</w:t>
      </w:r>
      <w:r>
        <w:rPr>
          <w:sz w:val="24"/>
          <w:szCs w:val="24"/>
        </w:rPr>
        <w:t xml:space="preserve"> material</w:t>
      </w:r>
      <w:r w:rsidRPr="007112F9">
        <w:rPr>
          <w:sz w:val="24"/>
          <w:szCs w:val="24"/>
        </w:rPr>
        <w:t xml:space="preserve"> on AI best practices</w:t>
      </w:r>
      <w:r>
        <w:rPr>
          <w:sz w:val="24"/>
          <w:szCs w:val="24"/>
        </w:rPr>
        <w:t xml:space="preserve">; their materials will cover topics such as </w:t>
      </w:r>
      <w:r w:rsidRPr="007112F9">
        <w:rPr>
          <w:sz w:val="24"/>
          <w:szCs w:val="24"/>
        </w:rPr>
        <w:t>fairness</w:t>
      </w:r>
      <w:r>
        <w:rPr>
          <w:sz w:val="24"/>
          <w:szCs w:val="24"/>
        </w:rPr>
        <w:t>,</w:t>
      </w:r>
      <w:r w:rsidRPr="007112F9">
        <w:rPr>
          <w:sz w:val="24"/>
          <w:szCs w:val="24"/>
        </w:rPr>
        <w:t xml:space="preserve"> inclusivity, transparency, security and privacy, values and ethics, collaboration between people and AI systems, interoperability of systems,</w:t>
      </w:r>
      <w:r>
        <w:rPr>
          <w:sz w:val="24"/>
          <w:szCs w:val="24"/>
        </w:rPr>
        <w:t xml:space="preserve"> and</w:t>
      </w:r>
      <w:r w:rsidRPr="007112F9">
        <w:rPr>
          <w:sz w:val="24"/>
          <w:szCs w:val="24"/>
        </w:rPr>
        <w:t xml:space="preserve"> </w:t>
      </w:r>
      <w:r>
        <w:rPr>
          <w:sz w:val="24"/>
          <w:szCs w:val="24"/>
        </w:rPr>
        <w:t xml:space="preserve">safety, reliability, and robustness </w:t>
      </w:r>
      <w:r w:rsidRPr="007112F9">
        <w:rPr>
          <w:sz w:val="24"/>
          <w:szCs w:val="24"/>
        </w:rPr>
        <w:t>of AI technologies (P</w:t>
      </w:r>
      <w:r>
        <w:rPr>
          <w:sz w:val="24"/>
          <w:szCs w:val="24"/>
        </w:rPr>
        <w:t xml:space="preserve">artnership on </w:t>
      </w:r>
      <w:r w:rsidRPr="007112F9">
        <w:rPr>
          <w:sz w:val="24"/>
          <w:szCs w:val="24"/>
        </w:rPr>
        <w:t xml:space="preserve">AI 2019). </w:t>
      </w:r>
    </w:p>
    <w:p w14:paraId="01100CAA" w14:textId="77777777" w:rsidR="00DD4AD1" w:rsidRDefault="00DD4AD1" w:rsidP="00DD4AD1">
      <w:r>
        <w:t>B</w:t>
      </w:r>
      <w:r w:rsidRPr="00942496">
        <w:t xml:space="preserve">ased on the lessons learned from </w:t>
      </w:r>
      <w:r>
        <w:t>our</w:t>
      </w:r>
      <w:r w:rsidRPr="00942496">
        <w:t xml:space="preserve"> three examples, educating on </w:t>
      </w:r>
      <w:r w:rsidRPr="007112F9">
        <w:t xml:space="preserve">AI </w:t>
      </w:r>
      <w:r w:rsidRPr="00942496">
        <w:t>risk</w:t>
      </w:r>
      <w:r>
        <w:t>s</w:t>
      </w:r>
      <w:r w:rsidRPr="00942496">
        <w:t xml:space="preserve"> </w:t>
      </w:r>
      <w:r>
        <w:t>or</w:t>
      </w:r>
      <w:r w:rsidRPr="00942496">
        <w:t xml:space="preserve"> best practices </w:t>
      </w:r>
      <w:r>
        <w:t>is not sufficient to</w:t>
      </w:r>
      <w:r w:rsidRPr="00942496">
        <w:t xml:space="preserve"> trigger a collective action</w:t>
      </w:r>
      <w:r w:rsidRPr="007112F9">
        <w:t xml:space="preserve"> </w:t>
      </w:r>
      <w:r w:rsidRPr="00942496">
        <w:t xml:space="preserve">to respond to serious downside risks from AI technology. </w:t>
      </w:r>
      <w:r>
        <w:t xml:space="preserve">Like the organizations we have discussed, </w:t>
      </w:r>
      <w:r w:rsidRPr="00942496">
        <w:t xml:space="preserve">PAI will need </w:t>
      </w:r>
      <w:r>
        <w:t>to expand beyond</w:t>
      </w:r>
      <w:r w:rsidRPr="00942496">
        <w:t xml:space="preserve"> </w:t>
      </w:r>
      <w:r w:rsidRPr="007112F9">
        <w:t xml:space="preserve">best practice education </w:t>
      </w:r>
      <w:r>
        <w:t xml:space="preserve">to inform participating companies about </w:t>
      </w:r>
      <w:r w:rsidRPr="00942496">
        <w:t xml:space="preserve">the overlap of private interests and </w:t>
      </w:r>
      <w:r w:rsidRPr="000C4A79">
        <w:t>environmental</w:t>
      </w:r>
      <w:r>
        <w:t xml:space="preserve">, </w:t>
      </w:r>
      <w:r w:rsidRPr="000C4A79">
        <w:t>safety</w:t>
      </w:r>
      <w:r>
        <w:t xml:space="preserve">, and </w:t>
      </w:r>
      <w:r w:rsidRPr="000C4A79">
        <w:t xml:space="preserve">societal technology standards, </w:t>
      </w:r>
      <w:r>
        <w:t xml:space="preserve">and cultivate </w:t>
      </w:r>
      <w:r w:rsidRPr="00942496">
        <w:t xml:space="preserve">the community of fate for </w:t>
      </w:r>
      <w:proofErr w:type="gramStart"/>
      <w:r w:rsidRPr="00942496">
        <w:t>all of</w:t>
      </w:r>
      <w:proofErr w:type="gramEnd"/>
      <w:r w:rsidRPr="00942496">
        <w:t xml:space="preserve"> the AI industry members (</w:t>
      </w:r>
      <w:r>
        <w:t>Figure</w:t>
      </w:r>
      <w:r w:rsidRPr="00942496">
        <w:t xml:space="preserve"> 1).</w:t>
      </w:r>
      <w:r w:rsidRPr="007112F9">
        <w:t xml:space="preserve"> </w:t>
      </w:r>
      <w:r>
        <w:t xml:space="preserve">Just as the three </w:t>
      </w:r>
      <w:r w:rsidRPr="00942496">
        <w:t xml:space="preserve">industries that faced a catastrophic event needed to educate the industry members, education </w:t>
      </w:r>
      <w:r>
        <w:t>within</w:t>
      </w:r>
      <w:r w:rsidRPr="00942496">
        <w:t xml:space="preserve"> the AI industry</w:t>
      </w:r>
      <w:r>
        <w:t xml:space="preserve"> is imperative because a catastrophic event could occur</w:t>
      </w:r>
      <w:r w:rsidRPr="00942496">
        <w:t xml:space="preserve">. </w:t>
      </w:r>
      <w:r>
        <w:t>AI i</w:t>
      </w:r>
      <w:r w:rsidRPr="007112F9">
        <w:t xml:space="preserve">ndustry members </w:t>
      </w:r>
      <w:r>
        <w:t xml:space="preserve">are unlikely to </w:t>
      </w:r>
      <w:r w:rsidRPr="007112F9">
        <w:t>perceive and accept a shared sense of community responsibility on their own.</w:t>
      </w:r>
    </w:p>
    <w:p w14:paraId="6479FC75" w14:textId="77777777" w:rsidR="00F911DE" w:rsidRDefault="00F911DE" w:rsidP="00DD4AD1"/>
    <w:p w14:paraId="6EC1B4CB" w14:textId="77777777" w:rsidR="00F911DE" w:rsidRDefault="00F911DE" w:rsidP="00DD4AD1"/>
    <w:p w14:paraId="2DAB87DB" w14:textId="044BB0E9" w:rsidR="00F911DE" w:rsidRDefault="00F911DE" w:rsidP="00DD4AD1">
      <w:r>
        <w:rPr>
          <w:noProof/>
        </w:rPr>
        <w:lastRenderedPageBreak/>
        <w:drawing>
          <wp:inline distT="0" distB="0" distL="0" distR="0" wp14:anchorId="3A554869" wp14:editId="079AE2F3">
            <wp:extent cx="6649085" cy="43871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3503" cy="4396674"/>
                    </a:xfrm>
                    <a:prstGeom prst="rect">
                      <a:avLst/>
                    </a:prstGeom>
                    <a:noFill/>
                  </pic:spPr>
                </pic:pic>
              </a:graphicData>
            </a:graphic>
          </wp:inline>
        </w:drawing>
      </w:r>
    </w:p>
    <w:p w14:paraId="429F30EC" w14:textId="1841C191" w:rsidR="00DD4AD1" w:rsidRDefault="00DD4AD1" w:rsidP="00DD4AD1">
      <w:r w:rsidRPr="007112F9">
        <w:t xml:space="preserve">Concerning </w:t>
      </w:r>
      <w:r>
        <w:t>s</w:t>
      </w:r>
      <w:r w:rsidRPr="007112F9">
        <w:t xml:space="preserve">eizing, PAI created </w:t>
      </w:r>
      <w:r>
        <w:t xml:space="preserve">several </w:t>
      </w:r>
      <w:r w:rsidRPr="007112F9">
        <w:t>working groups</w:t>
      </w:r>
      <w:r w:rsidRPr="006C7EE6">
        <w:t xml:space="preserve"> </w:t>
      </w:r>
      <w:r>
        <w:t>like</w:t>
      </w:r>
      <w:r w:rsidRPr="006C7EE6">
        <w:t xml:space="preserve"> </w:t>
      </w:r>
      <w:r>
        <w:t xml:space="preserve">the </w:t>
      </w:r>
      <w:r w:rsidRPr="007112F9">
        <w:t xml:space="preserve">Fairness, Transparency, and Accountability Working Group </w:t>
      </w:r>
      <w:r>
        <w:t>and</w:t>
      </w:r>
      <w:r w:rsidRPr="007112F9">
        <w:t xml:space="preserve"> </w:t>
      </w:r>
      <w:r w:rsidRPr="006C7EE6">
        <w:t xml:space="preserve">the </w:t>
      </w:r>
      <w:hyperlink r:id="rId23" w:history="1">
        <w:r w:rsidRPr="006C7EE6">
          <w:t>AI and Media Integrity Steering Committee</w:t>
        </w:r>
      </w:hyperlink>
      <w:r>
        <w:t xml:space="preserve"> that are tasked with </w:t>
      </w:r>
      <w:r w:rsidRPr="007112F9">
        <w:t xml:space="preserve">making timely decisions to react to </w:t>
      </w:r>
      <w:r>
        <w:t xml:space="preserve">any </w:t>
      </w:r>
      <w:r w:rsidRPr="007112F9">
        <w:t>AI opportunity or threat. Each group engage</w:t>
      </w:r>
      <w:r>
        <w:t>s</w:t>
      </w:r>
      <w:r w:rsidRPr="007112F9">
        <w:t xml:space="preserve"> experts </w:t>
      </w:r>
      <w:r>
        <w:t xml:space="preserve">from </w:t>
      </w:r>
      <w:r w:rsidRPr="007112F9">
        <w:t xml:space="preserve">disciplines </w:t>
      </w:r>
      <w:r>
        <w:t xml:space="preserve">such as </w:t>
      </w:r>
      <w:r w:rsidRPr="007112F9">
        <w:t xml:space="preserve">psychology, philosophy, economics, finance, sociology, public policy, and law to discuss, provide guidance, and support objective third-party studies on emerging issues related to the impact of AI on society. PAI’s </w:t>
      </w:r>
      <w:r w:rsidRPr="00313CE2">
        <w:t xml:space="preserve">working groups </w:t>
      </w:r>
      <w:r>
        <w:t>develop</w:t>
      </w:r>
      <w:r w:rsidRPr="00313CE2">
        <w:t xml:space="preserve"> case studies on AI’s impact on labor and its use in criminal justice sentencing. </w:t>
      </w:r>
    </w:p>
    <w:p w14:paraId="7024A480" w14:textId="77777777" w:rsidR="00DD4AD1" w:rsidRPr="00313CE2" w:rsidRDefault="00DD4AD1" w:rsidP="00DD4AD1">
      <w:r w:rsidRPr="00313CE2">
        <w:t xml:space="preserve">Based on </w:t>
      </w:r>
      <w:r>
        <w:t xml:space="preserve">the </w:t>
      </w:r>
      <w:r w:rsidRPr="00313CE2">
        <w:t>three examples</w:t>
      </w:r>
      <w:r>
        <w:t xml:space="preserve"> presented</w:t>
      </w:r>
      <w:r w:rsidRPr="00313CE2">
        <w:t xml:space="preserve">, PAI may </w:t>
      </w:r>
      <w:r>
        <w:t>need</w:t>
      </w:r>
      <w:r w:rsidRPr="00313CE2">
        <w:t xml:space="preserve"> more specific mechanisms to motivate </w:t>
      </w:r>
      <w:r>
        <w:t xml:space="preserve">members to disclose </w:t>
      </w:r>
      <w:r w:rsidRPr="00313CE2">
        <w:t>necessary information and</w:t>
      </w:r>
      <w:r>
        <w:t xml:space="preserve"> to get member company CEOs to commit </w:t>
      </w:r>
      <w:r w:rsidRPr="007112F9">
        <w:t>to</w:t>
      </w:r>
      <w:r>
        <w:t xml:space="preserve"> implementing best practices developed by PAI regarding </w:t>
      </w:r>
      <w:r w:rsidRPr="007112F9">
        <w:t xml:space="preserve">safe, socially responsible AI. </w:t>
      </w:r>
      <w:r>
        <w:t xml:space="preserve">Motivating industry members to participate in the working groups is a good first step, but PAI must ensure members commit to disclose the AI risks they identify and commit to implement the best practices. </w:t>
      </w:r>
    </w:p>
    <w:p w14:paraId="48C7A960" w14:textId="77777777" w:rsidR="00DD4AD1" w:rsidRDefault="00DD4AD1" w:rsidP="00DD4AD1">
      <w:proofErr w:type="gramStart"/>
      <w:r>
        <w:t>With regard to</w:t>
      </w:r>
      <w:proofErr w:type="gramEnd"/>
      <w:r>
        <w:t xml:space="preserve"> transforming, PAI needs to evolve into a </w:t>
      </w:r>
      <w:r w:rsidRPr="00941B0B">
        <w:t xml:space="preserve">structure that sustains and supports the implementation of responses to new opportunities and threats. </w:t>
      </w:r>
      <w:r>
        <w:t xml:space="preserve">Currently, PAI has workgroups and workshops that it created based on prioritized risks and perceived opportunities. </w:t>
      </w:r>
      <w:r w:rsidRPr="00941B0B">
        <w:rPr>
          <w:rFonts w:cs="Times New Roman"/>
          <w:iCs/>
          <w:color w:val="000000" w:themeColor="text1"/>
        </w:rPr>
        <w:t xml:space="preserve">What PAI </w:t>
      </w:r>
      <w:r>
        <w:rPr>
          <w:rFonts w:cs="Times New Roman"/>
          <w:iCs/>
          <w:color w:val="000000" w:themeColor="text1"/>
        </w:rPr>
        <w:t xml:space="preserve">lacks, but which </w:t>
      </w:r>
      <w:r w:rsidRPr="00941B0B">
        <w:rPr>
          <w:rFonts w:cs="Times New Roman"/>
          <w:iCs/>
          <w:color w:val="000000" w:themeColor="text1"/>
        </w:rPr>
        <w:t xml:space="preserve">was present in </w:t>
      </w:r>
      <w:r>
        <w:rPr>
          <w:rFonts w:cs="Times New Roman"/>
          <w:iCs/>
          <w:color w:val="000000" w:themeColor="text1"/>
        </w:rPr>
        <w:t>our three examples,</w:t>
      </w:r>
      <w:r w:rsidRPr="00941B0B">
        <w:rPr>
          <w:rFonts w:cs="Times New Roman"/>
          <w:iCs/>
          <w:color w:val="000000" w:themeColor="text1"/>
        </w:rPr>
        <w:t xml:space="preserve"> is a process for </w:t>
      </w:r>
      <w:r>
        <w:rPr>
          <w:rFonts w:cs="Times New Roman"/>
          <w:iCs/>
          <w:color w:val="000000" w:themeColor="text1"/>
        </w:rPr>
        <w:t xml:space="preserve">working </w:t>
      </w:r>
      <w:r w:rsidRPr="00941B0B">
        <w:rPr>
          <w:rFonts w:cs="Times New Roman"/>
          <w:iCs/>
          <w:color w:val="000000" w:themeColor="text1"/>
        </w:rPr>
        <w:t>group</w:t>
      </w:r>
      <w:r>
        <w:rPr>
          <w:rFonts w:cs="Times New Roman"/>
          <w:iCs/>
          <w:color w:val="000000" w:themeColor="text1"/>
        </w:rPr>
        <w:t>s</w:t>
      </w:r>
      <w:r w:rsidRPr="00941B0B">
        <w:rPr>
          <w:rFonts w:cs="Times New Roman"/>
          <w:iCs/>
          <w:color w:val="000000" w:themeColor="text1"/>
        </w:rPr>
        <w:t xml:space="preserve"> to continue engaging after </w:t>
      </w:r>
      <w:r>
        <w:rPr>
          <w:rFonts w:cs="Times New Roman"/>
          <w:iCs/>
          <w:color w:val="000000" w:themeColor="text1"/>
        </w:rPr>
        <w:t>they produce</w:t>
      </w:r>
      <w:r w:rsidRPr="00941B0B">
        <w:rPr>
          <w:rFonts w:cs="Times New Roman"/>
          <w:iCs/>
          <w:color w:val="000000" w:themeColor="text1"/>
        </w:rPr>
        <w:t xml:space="preserve"> </w:t>
      </w:r>
      <w:r>
        <w:rPr>
          <w:rFonts w:cs="Times New Roman"/>
          <w:iCs/>
          <w:color w:val="000000" w:themeColor="text1"/>
        </w:rPr>
        <w:t>results</w:t>
      </w:r>
      <w:r w:rsidRPr="00941B0B">
        <w:rPr>
          <w:rFonts w:cs="Times New Roman"/>
          <w:iCs/>
          <w:color w:val="000000" w:themeColor="text1"/>
        </w:rPr>
        <w:t xml:space="preserve"> or best practices. </w:t>
      </w:r>
      <w:r>
        <w:rPr>
          <w:rFonts w:cs="Times New Roman"/>
          <w:iCs/>
          <w:color w:val="000000" w:themeColor="text1"/>
        </w:rPr>
        <w:t>Given the rapid pace of AI development and application, PAI’s</w:t>
      </w:r>
      <w:r w:rsidRPr="00941B0B">
        <w:rPr>
          <w:rFonts w:cs="Times New Roman"/>
          <w:iCs/>
          <w:color w:val="000000" w:themeColor="text1"/>
        </w:rPr>
        <w:t xml:space="preserve"> results </w:t>
      </w:r>
      <w:r>
        <w:rPr>
          <w:rFonts w:cs="Times New Roman"/>
          <w:iCs/>
          <w:color w:val="000000" w:themeColor="text1"/>
        </w:rPr>
        <w:t>can</w:t>
      </w:r>
      <w:r w:rsidRPr="00941B0B">
        <w:rPr>
          <w:rFonts w:cs="Times New Roman"/>
          <w:iCs/>
          <w:color w:val="000000" w:themeColor="text1"/>
        </w:rPr>
        <w:t>not be static</w:t>
      </w:r>
      <w:r>
        <w:rPr>
          <w:rFonts w:cs="Times New Roman"/>
          <w:iCs/>
          <w:color w:val="000000" w:themeColor="text1"/>
        </w:rPr>
        <w:t xml:space="preserve">—they </w:t>
      </w:r>
      <w:r w:rsidRPr="00941B0B">
        <w:rPr>
          <w:rFonts w:cs="Times New Roman"/>
          <w:iCs/>
          <w:color w:val="000000" w:themeColor="text1"/>
        </w:rPr>
        <w:t>will need to evolve.</w:t>
      </w:r>
      <w:r>
        <w:t xml:space="preserve"> Past models offered several alternatives to develop dynamic best practices such as a standard-setting organisation that also has the role of evaluating companies’ practices and co-creating solutions, conducting industry-based self-improvement efforts that involve CEOs, and developing and periodically updating technology roadmaps.  </w:t>
      </w:r>
    </w:p>
    <w:p w14:paraId="2EB9B0DA" w14:textId="77777777" w:rsidR="00DD4AD1" w:rsidRPr="00DD4AD1" w:rsidRDefault="00DD4AD1" w:rsidP="00DD4AD1">
      <w:pPr>
        <w:rPr>
          <w:b/>
          <w:bCs/>
        </w:rPr>
      </w:pPr>
      <w:r w:rsidRPr="00DD4AD1">
        <w:rPr>
          <w:b/>
          <w:bCs/>
        </w:rPr>
        <w:lastRenderedPageBreak/>
        <w:t xml:space="preserve">Conclusion </w:t>
      </w:r>
    </w:p>
    <w:p w14:paraId="24C26108" w14:textId="77777777" w:rsidR="00DD4AD1" w:rsidRDefault="00DD4AD1" w:rsidP="00DD4AD1">
      <w:pPr>
        <w:rPr>
          <w:sz w:val="24"/>
          <w:szCs w:val="24"/>
        </w:rPr>
      </w:pPr>
      <w:r w:rsidRPr="00BB363B">
        <w:rPr>
          <w:sz w:val="24"/>
          <w:szCs w:val="24"/>
        </w:rPr>
        <w:t xml:space="preserve">Cooperation among competitors is sometimes necessary to </w:t>
      </w:r>
      <w:r>
        <w:rPr>
          <w:sz w:val="24"/>
          <w:szCs w:val="24"/>
        </w:rPr>
        <w:t>sustain</w:t>
      </w:r>
      <w:r w:rsidRPr="00BB363B">
        <w:rPr>
          <w:sz w:val="24"/>
          <w:szCs w:val="24"/>
        </w:rPr>
        <w:t xml:space="preserve"> an industry. The AI industry has not yet experienced a catastrophe and has proactiv</w:t>
      </w:r>
      <w:r>
        <w:rPr>
          <w:sz w:val="24"/>
          <w:szCs w:val="24"/>
        </w:rPr>
        <w:t>ely</w:t>
      </w:r>
      <w:r w:rsidRPr="00BB363B">
        <w:rPr>
          <w:sz w:val="24"/>
          <w:szCs w:val="24"/>
        </w:rPr>
        <w:t xml:space="preserve"> form</w:t>
      </w:r>
      <w:r>
        <w:rPr>
          <w:sz w:val="24"/>
          <w:szCs w:val="24"/>
        </w:rPr>
        <w:t>ed</w:t>
      </w:r>
      <w:r w:rsidRPr="00BB363B">
        <w:rPr>
          <w:sz w:val="24"/>
          <w:szCs w:val="24"/>
        </w:rPr>
        <w:t xml:space="preserve"> </w:t>
      </w:r>
      <w:r>
        <w:rPr>
          <w:sz w:val="24"/>
          <w:szCs w:val="24"/>
        </w:rPr>
        <w:t xml:space="preserve">the </w:t>
      </w:r>
      <w:r w:rsidRPr="00BB363B">
        <w:rPr>
          <w:sz w:val="24"/>
          <w:szCs w:val="24"/>
        </w:rPr>
        <w:t>P</w:t>
      </w:r>
      <w:r>
        <w:rPr>
          <w:sz w:val="24"/>
          <w:szCs w:val="24"/>
        </w:rPr>
        <w:t xml:space="preserve">artnership in </w:t>
      </w:r>
      <w:r w:rsidRPr="00BB363B">
        <w:rPr>
          <w:sz w:val="24"/>
          <w:szCs w:val="24"/>
        </w:rPr>
        <w:t xml:space="preserve">AI. By tackling risks jointly and in advance, PAI and AI companies can </w:t>
      </w:r>
      <w:r>
        <w:rPr>
          <w:sz w:val="24"/>
          <w:szCs w:val="24"/>
        </w:rPr>
        <w:t>co-</w:t>
      </w:r>
      <w:r w:rsidRPr="00BB363B">
        <w:rPr>
          <w:sz w:val="24"/>
          <w:szCs w:val="24"/>
        </w:rPr>
        <w:t>develop solutions from the design stage, which might reduce the likelihood of a disaster, mitigate one</w:t>
      </w:r>
      <w:r>
        <w:rPr>
          <w:sz w:val="24"/>
          <w:szCs w:val="24"/>
        </w:rPr>
        <w:t xml:space="preserve"> if it </w:t>
      </w:r>
      <w:r w:rsidRPr="00BB363B">
        <w:rPr>
          <w:sz w:val="24"/>
          <w:szCs w:val="24"/>
        </w:rPr>
        <w:t>occur</w:t>
      </w:r>
      <w:r>
        <w:rPr>
          <w:sz w:val="24"/>
          <w:szCs w:val="24"/>
        </w:rPr>
        <w:t>s</w:t>
      </w:r>
      <w:r w:rsidRPr="00BB363B">
        <w:rPr>
          <w:sz w:val="24"/>
          <w:szCs w:val="24"/>
        </w:rPr>
        <w:t xml:space="preserve">, and reduce potential costs </w:t>
      </w:r>
      <w:r>
        <w:rPr>
          <w:sz w:val="24"/>
          <w:szCs w:val="24"/>
        </w:rPr>
        <w:t xml:space="preserve">for </w:t>
      </w:r>
      <w:r w:rsidRPr="00BB363B">
        <w:rPr>
          <w:sz w:val="24"/>
          <w:szCs w:val="24"/>
        </w:rPr>
        <w:t>resolving it.</w:t>
      </w:r>
      <w:r>
        <w:rPr>
          <w:sz w:val="24"/>
          <w:szCs w:val="24"/>
        </w:rPr>
        <w:t xml:space="preserve"> With AI industry members’ commitment, </w:t>
      </w:r>
      <w:r w:rsidRPr="00BB363B">
        <w:rPr>
          <w:sz w:val="24"/>
          <w:szCs w:val="24"/>
        </w:rPr>
        <w:t xml:space="preserve">PAI </w:t>
      </w:r>
      <w:r>
        <w:rPr>
          <w:sz w:val="24"/>
          <w:szCs w:val="24"/>
        </w:rPr>
        <w:t xml:space="preserve">can </w:t>
      </w:r>
      <w:r w:rsidRPr="00BB363B">
        <w:rPr>
          <w:sz w:val="24"/>
          <w:szCs w:val="24"/>
        </w:rPr>
        <w:t xml:space="preserve">ensure that the industry has three dynamic capabilities: sensing the opportunities inherent in a shared goal of achieving high environmental and societal standards for AI technologies, seizing on opportunities and threats in a timely manner by having companies engaged in AI disclose risks and commit to co-creating and implementing best practices, and transforming their overarching organization to enable a dynamic process that renews and updates industry risks and best practices continuously. The </w:t>
      </w:r>
      <w:r>
        <w:rPr>
          <w:sz w:val="24"/>
          <w:szCs w:val="24"/>
        </w:rPr>
        <w:t>Dynamic Capabilities Framework</w:t>
      </w:r>
      <w:r w:rsidRPr="00BB363B">
        <w:rPr>
          <w:sz w:val="24"/>
          <w:szCs w:val="24"/>
        </w:rPr>
        <w:t xml:space="preserve"> could be useful for any industry </w:t>
      </w:r>
      <w:r>
        <w:rPr>
          <w:sz w:val="24"/>
          <w:szCs w:val="24"/>
        </w:rPr>
        <w:t>requiring</w:t>
      </w:r>
      <w:r w:rsidRPr="00BB363B">
        <w:rPr>
          <w:sz w:val="24"/>
          <w:szCs w:val="24"/>
        </w:rPr>
        <w:t xml:space="preserve"> a community of fate in handling the environmental and social sustainability of </w:t>
      </w:r>
      <w:r>
        <w:rPr>
          <w:sz w:val="24"/>
          <w:szCs w:val="24"/>
        </w:rPr>
        <w:t>its</w:t>
      </w:r>
      <w:r w:rsidRPr="00BB363B">
        <w:rPr>
          <w:sz w:val="24"/>
          <w:szCs w:val="24"/>
        </w:rPr>
        <w:t xml:space="preserve"> technology</w:t>
      </w:r>
      <w:r>
        <w:rPr>
          <w:sz w:val="24"/>
          <w:szCs w:val="24"/>
        </w:rPr>
        <w:t>.</w:t>
      </w:r>
    </w:p>
    <w:p w14:paraId="1C3457A4" w14:textId="77777777" w:rsidR="00DD4AD1" w:rsidRPr="00B113D7" w:rsidRDefault="00DD4AD1" w:rsidP="00DD4AD1"/>
    <w:p w14:paraId="248B21A2" w14:textId="77777777" w:rsidR="00A7771C" w:rsidRDefault="00A7771C" w:rsidP="00DD4AD1"/>
    <w:sectPr w:rsidR="00A7771C" w:rsidSect="00BF5DD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03CB" w14:textId="77777777" w:rsidR="00585C8E" w:rsidRDefault="00585C8E" w:rsidP="00585C8E">
      <w:pPr>
        <w:spacing w:after="0" w:line="240" w:lineRule="auto"/>
      </w:pPr>
      <w:r>
        <w:separator/>
      </w:r>
    </w:p>
  </w:endnote>
  <w:endnote w:type="continuationSeparator" w:id="0">
    <w:p w14:paraId="3C13F9F0" w14:textId="77777777" w:rsidR="00585C8E" w:rsidRDefault="00585C8E" w:rsidP="0058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Next-Medium">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22568"/>
      <w:docPartObj>
        <w:docPartGallery w:val="Page Numbers (Bottom of Page)"/>
        <w:docPartUnique/>
      </w:docPartObj>
    </w:sdtPr>
    <w:sdtEndPr/>
    <w:sdtContent>
      <w:p w14:paraId="17BDF4A8" w14:textId="0417E4A7" w:rsidR="00585C8E" w:rsidRDefault="00585C8E">
        <w:pPr>
          <w:pStyle w:val="Pieddepage"/>
          <w:jc w:val="right"/>
        </w:pPr>
        <w:r>
          <w:fldChar w:fldCharType="begin"/>
        </w:r>
        <w:r>
          <w:instrText>PAGE   \* MERGEFORMAT</w:instrText>
        </w:r>
        <w:r>
          <w:fldChar w:fldCharType="separate"/>
        </w:r>
        <w:r>
          <w:rPr>
            <w:lang w:val="fr-FR"/>
          </w:rPr>
          <w:t>2</w:t>
        </w:r>
        <w:r>
          <w:fldChar w:fldCharType="end"/>
        </w:r>
      </w:p>
    </w:sdtContent>
  </w:sdt>
  <w:p w14:paraId="699361D9" w14:textId="77777777" w:rsidR="00585C8E" w:rsidRDefault="00585C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D19B" w14:textId="77777777" w:rsidR="00585C8E" w:rsidRDefault="00585C8E" w:rsidP="00585C8E">
      <w:pPr>
        <w:spacing w:after="0" w:line="240" w:lineRule="auto"/>
      </w:pPr>
      <w:r>
        <w:separator/>
      </w:r>
    </w:p>
  </w:footnote>
  <w:footnote w:type="continuationSeparator" w:id="0">
    <w:p w14:paraId="18B427ED" w14:textId="77777777" w:rsidR="00585C8E" w:rsidRDefault="00585C8E" w:rsidP="0058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A4E08"/>
    <w:multiLevelType w:val="hybridMultilevel"/>
    <w:tmpl w:val="96F22C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65149"/>
    <w:multiLevelType w:val="hybridMultilevel"/>
    <w:tmpl w:val="D354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911253">
    <w:abstractNumId w:val="1"/>
  </w:num>
  <w:num w:numId="2" w16cid:durableId="1482769379">
    <w:abstractNumId w:val="0"/>
  </w:num>
  <w:num w:numId="3" w16cid:durableId="98523407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NDE2M7W0NDc0sLBQ0lEKTi0uzszPAykwqQUAbt13WiwAAAA="/>
  </w:docVars>
  <w:rsids>
    <w:rsidRoot w:val="00585C8E"/>
    <w:rsid w:val="000677CD"/>
    <w:rsid w:val="00080400"/>
    <w:rsid w:val="000C6EEF"/>
    <w:rsid w:val="001B1252"/>
    <w:rsid w:val="0024397A"/>
    <w:rsid w:val="002B0CD4"/>
    <w:rsid w:val="002C2BC9"/>
    <w:rsid w:val="003314C5"/>
    <w:rsid w:val="003D26D8"/>
    <w:rsid w:val="00482FD1"/>
    <w:rsid w:val="00522A9F"/>
    <w:rsid w:val="00550EDA"/>
    <w:rsid w:val="00580555"/>
    <w:rsid w:val="00585C8E"/>
    <w:rsid w:val="005D23B9"/>
    <w:rsid w:val="00611F2E"/>
    <w:rsid w:val="0063025F"/>
    <w:rsid w:val="00722847"/>
    <w:rsid w:val="007328A0"/>
    <w:rsid w:val="00737B7F"/>
    <w:rsid w:val="00745FE8"/>
    <w:rsid w:val="008323E6"/>
    <w:rsid w:val="00860152"/>
    <w:rsid w:val="008B24B0"/>
    <w:rsid w:val="00900EC9"/>
    <w:rsid w:val="00970374"/>
    <w:rsid w:val="009C01C0"/>
    <w:rsid w:val="009E13D4"/>
    <w:rsid w:val="00A7771C"/>
    <w:rsid w:val="00AF629F"/>
    <w:rsid w:val="00B27855"/>
    <w:rsid w:val="00B454A4"/>
    <w:rsid w:val="00BF5DD6"/>
    <w:rsid w:val="00CD2DE6"/>
    <w:rsid w:val="00D1392A"/>
    <w:rsid w:val="00DD4AD1"/>
    <w:rsid w:val="00EC25F7"/>
    <w:rsid w:val="00EE1860"/>
    <w:rsid w:val="00F13DF7"/>
    <w:rsid w:val="00F911DE"/>
    <w:rsid w:val="00F94B3E"/>
    <w:rsid w:val="00FD4F8D"/>
    <w:rsid w:val="00FE54A5"/>
    <w:rsid w:val="00FE57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5652"/>
  <w15:chartTrackingRefBased/>
  <w15:docId w15:val="{FBA4A7F5-6C8F-47A0-A07B-560B3244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85C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585C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323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C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85C8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85C8E"/>
    <w:rPr>
      <w:b/>
      <w:bCs/>
    </w:rPr>
  </w:style>
  <w:style w:type="character" w:styleId="Accentuation">
    <w:name w:val="Emphasis"/>
    <w:basedOn w:val="Policepardfaut"/>
    <w:uiPriority w:val="20"/>
    <w:qFormat/>
    <w:rsid w:val="00585C8E"/>
    <w:rPr>
      <w:i/>
      <w:iCs/>
    </w:rPr>
  </w:style>
  <w:style w:type="character" w:styleId="Lienhypertexte">
    <w:name w:val="Hyperlink"/>
    <w:basedOn w:val="Policepardfaut"/>
    <w:uiPriority w:val="99"/>
    <w:unhideWhenUsed/>
    <w:rsid w:val="00585C8E"/>
    <w:rPr>
      <w:color w:val="0000FF"/>
      <w:u w:val="single"/>
    </w:rPr>
  </w:style>
  <w:style w:type="character" w:customStyle="1" w:styleId="Titre2Car">
    <w:name w:val="Titre 2 Car"/>
    <w:basedOn w:val="Policepardfaut"/>
    <w:link w:val="Titre2"/>
    <w:uiPriority w:val="9"/>
    <w:rsid w:val="00585C8E"/>
    <w:rPr>
      <w:rFonts w:asciiTheme="majorHAnsi" w:eastAsiaTheme="majorEastAsia" w:hAnsiTheme="majorHAnsi" w:cstheme="majorBidi"/>
      <w:color w:val="2F5496" w:themeColor="accent1" w:themeShade="BF"/>
      <w:sz w:val="26"/>
      <w:szCs w:val="26"/>
    </w:rPr>
  </w:style>
  <w:style w:type="character" w:customStyle="1" w:styleId="font-bd">
    <w:name w:val="font-bd"/>
    <w:basedOn w:val="Policepardfaut"/>
    <w:rsid w:val="00585C8E"/>
  </w:style>
  <w:style w:type="paragraph" w:styleId="En-tte">
    <w:name w:val="header"/>
    <w:basedOn w:val="Normal"/>
    <w:link w:val="En-tteCar"/>
    <w:uiPriority w:val="99"/>
    <w:unhideWhenUsed/>
    <w:rsid w:val="00585C8E"/>
    <w:pPr>
      <w:tabs>
        <w:tab w:val="center" w:pos="4703"/>
        <w:tab w:val="right" w:pos="9406"/>
      </w:tabs>
      <w:spacing w:after="0" w:line="240" w:lineRule="auto"/>
    </w:pPr>
  </w:style>
  <w:style w:type="character" w:customStyle="1" w:styleId="En-tteCar">
    <w:name w:val="En-tête Car"/>
    <w:basedOn w:val="Policepardfaut"/>
    <w:link w:val="En-tte"/>
    <w:uiPriority w:val="99"/>
    <w:rsid w:val="00585C8E"/>
  </w:style>
  <w:style w:type="paragraph" w:styleId="Pieddepage">
    <w:name w:val="footer"/>
    <w:basedOn w:val="Normal"/>
    <w:link w:val="PieddepageCar"/>
    <w:uiPriority w:val="99"/>
    <w:unhideWhenUsed/>
    <w:rsid w:val="00585C8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85C8E"/>
  </w:style>
  <w:style w:type="paragraph" w:customStyle="1" w:styleId="author">
    <w:name w:val="author"/>
    <w:basedOn w:val="Normal"/>
    <w:rsid w:val="00482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482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482FD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F94B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B3E"/>
    <w:rPr>
      <w:rFonts w:ascii="Segoe UI" w:hAnsi="Segoe UI" w:cs="Segoe UI"/>
      <w:sz w:val="18"/>
      <w:szCs w:val="18"/>
    </w:rPr>
  </w:style>
  <w:style w:type="character" w:customStyle="1" w:styleId="fs-author-name">
    <w:name w:val="fs-author-name"/>
    <w:basedOn w:val="Policepardfaut"/>
    <w:rsid w:val="00080400"/>
  </w:style>
  <w:style w:type="paragraph" w:styleId="Citationintense">
    <w:name w:val="Intense Quote"/>
    <w:basedOn w:val="Normal"/>
    <w:next w:val="Normal"/>
    <w:link w:val="CitationintenseCar"/>
    <w:uiPriority w:val="30"/>
    <w:qFormat/>
    <w:rsid w:val="000804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080400"/>
    <w:rPr>
      <w:i/>
      <w:iCs/>
      <w:color w:val="4472C4" w:themeColor="accent1"/>
    </w:rPr>
  </w:style>
  <w:style w:type="character" w:customStyle="1" w:styleId="Titre3Car">
    <w:name w:val="Titre 3 Car"/>
    <w:basedOn w:val="Policepardfaut"/>
    <w:link w:val="Titre3"/>
    <w:uiPriority w:val="9"/>
    <w:rsid w:val="008323E6"/>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58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MNormal">
    <w:name w:val="RTM Normal"/>
    <w:basedOn w:val="Normal"/>
    <w:link w:val="RTMNormalChar"/>
    <w:qFormat/>
    <w:rsid w:val="00A7771C"/>
    <w:pPr>
      <w:spacing w:after="240" w:line="240" w:lineRule="auto"/>
    </w:pPr>
    <w:rPr>
      <w:rFonts w:ascii="Times New Roman" w:hAnsi="Times New Roman"/>
      <w:sz w:val="24"/>
      <w:szCs w:val="24"/>
      <w:lang w:val="en-GB"/>
    </w:rPr>
  </w:style>
  <w:style w:type="character" w:styleId="Marquedecommentaire">
    <w:name w:val="annotation reference"/>
    <w:basedOn w:val="Policepardfaut"/>
    <w:uiPriority w:val="99"/>
    <w:semiHidden/>
    <w:unhideWhenUsed/>
    <w:rsid w:val="00A7771C"/>
    <w:rPr>
      <w:sz w:val="16"/>
      <w:szCs w:val="16"/>
    </w:rPr>
  </w:style>
  <w:style w:type="paragraph" w:styleId="Commentaire">
    <w:name w:val="annotation text"/>
    <w:basedOn w:val="Normal"/>
    <w:link w:val="CommentaireCar"/>
    <w:uiPriority w:val="99"/>
    <w:unhideWhenUsed/>
    <w:rsid w:val="00A7771C"/>
    <w:pPr>
      <w:spacing w:line="240" w:lineRule="auto"/>
    </w:pPr>
    <w:rPr>
      <w:rFonts w:ascii="Times New Roman" w:eastAsiaTheme="minorEastAsia" w:hAnsi="Times New Roman"/>
      <w:sz w:val="20"/>
      <w:szCs w:val="20"/>
    </w:rPr>
  </w:style>
  <w:style w:type="character" w:customStyle="1" w:styleId="CommentaireCar">
    <w:name w:val="Commentaire Car"/>
    <w:basedOn w:val="Policepardfaut"/>
    <w:link w:val="Commentaire"/>
    <w:uiPriority w:val="99"/>
    <w:rsid w:val="00A7771C"/>
    <w:rPr>
      <w:rFonts w:ascii="Times New Roman" w:eastAsiaTheme="minorEastAsia" w:hAnsi="Times New Roman"/>
      <w:sz w:val="20"/>
      <w:szCs w:val="20"/>
    </w:rPr>
  </w:style>
  <w:style w:type="character" w:customStyle="1" w:styleId="e24kjd">
    <w:name w:val="e24kjd"/>
    <w:basedOn w:val="Policepardfaut"/>
    <w:rsid w:val="00A7771C"/>
  </w:style>
  <w:style w:type="character" w:customStyle="1" w:styleId="st">
    <w:name w:val="st"/>
    <w:basedOn w:val="Policepardfaut"/>
    <w:rsid w:val="00A7771C"/>
  </w:style>
  <w:style w:type="character" w:customStyle="1" w:styleId="RTMNormalChar">
    <w:name w:val="RTM Normal Char"/>
    <w:basedOn w:val="Policepardfaut"/>
    <w:link w:val="RTMNormal"/>
    <w:rsid w:val="00A7771C"/>
    <w:rPr>
      <w:rFonts w:ascii="Times New Roman" w:hAnsi="Times New Roman"/>
      <w:sz w:val="24"/>
      <w:szCs w:val="24"/>
      <w:lang w:val="en-GB"/>
    </w:rPr>
  </w:style>
  <w:style w:type="paragraph" w:customStyle="1" w:styleId="RTMFigurePlace">
    <w:name w:val="RTM Figure Place"/>
    <w:basedOn w:val="RTMNormal"/>
    <w:next w:val="RTMNormal"/>
    <w:qFormat/>
    <w:rsid w:val="00DD4AD1"/>
    <w:pPr>
      <w:spacing w:before="240"/>
      <w:contextualSpacing/>
      <w:jc w:val="center"/>
    </w:pPr>
    <w:rPr>
      <w:b/>
      <w:color w:val="FF0000"/>
    </w:rPr>
  </w:style>
  <w:style w:type="paragraph" w:customStyle="1" w:styleId="RTMHeading1">
    <w:name w:val="RTM Heading 1"/>
    <w:basedOn w:val="RTMNormal"/>
    <w:next w:val="RTMNormal"/>
    <w:qFormat/>
    <w:rsid w:val="00DD4AD1"/>
    <w:pPr>
      <w:keepNext/>
      <w:keepLines/>
      <w:spacing w:before="360" w:after="120"/>
      <w:contextualSpacing/>
    </w:pPr>
    <w:rPr>
      <w:b/>
    </w:rPr>
  </w:style>
  <w:style w:type="paragraph" w:customStyle="1" w:styleId="RTMHeading2">
    <w:name w:val="RTM Heading 2"/>
    <w:basedOn w:val="RTMHeading1"/>
    <w:next w:val="RTMNormal"/>
    <w:qFormat/>
    <w:rsid w:val="00DD4AD1"/>
    <w:pPr>
      <w:spacing w:before="120"/>
    </w:pPr>
    <w:rPr>
      <w:rFonts w:eastAsia="Cambria"/>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3601">
      <w:bodyDiv w:val="1"/>
      <w:marLeft w:val="0"/>
      <w:marRight w:val="0"/>
      <w:marTop w:val="0"/>
      <w:marBottom w:val="0"/>
      <w:divBdr>
        <w:top w:val="none" w:sz="0" w:space="0" w:color="auto"/>
        <w:left w:val="none" w:sz="0" w:space="0" w:color="auto"/>
        <w:bottom w:val="none" w:sz="0" w:space="0" w:color="auto"/>
        <w:right w:val="none" w:sz="0" w:space="0" w:color="auto"/>
      </w:divBdr>
    </w:div>
    <w:div w:id="94132959">
      <w:bodyDiv w:val="1"/>
      <w:marLeft w:val="0"/>
      <w:marRight w:val="0"/>
      <w:marTop w:val="0"/>
      <w:marBottom w:val="0"/>
      <w:divBdr>
        <w:top w:val="none" w:sz="0" w:space="0" w:color="auto"/>
        <w:left w:val="none" w:sz="0" w:space="0" w:color="auto"/>
        <w:bottom w:val="none" w:sz="0" w:space="0" w:color="auto"/>
        <w:right w:val="none" w:sz="0" w:space="0" w:color="auto"/>
      </w:divBdr>
    </w:div>
    <w:div w:id="234436752">
      <w:bodyDiv w:val="1"/>
      <w:marLeft w:val="0"/>
      <w:marRight w:val="0"/>
      <w:marTop w:val="0"/>
      <w:marBottom w:val="0"/>
      <w:divBdr>
        <w:top w:val="none" w:sz="0" w:space="0" w:color="auto"/>
        <w:left w:val="none" w:sz="0" w:space="0" w:color="auto"/>
        <w:bottom w:val="none" w:sz="0" w:space="0" w:color="auto"/>
        <w:right w:val="none" w:sz="0" w:space="0" w:color="auto"/>
      </w:divBdr>
      <w:divsChild>
        <w:div w:id="1661157256">
          <w:marLeft w:val="0"/>
          <w:marRight w:val="0"/>
          <w:marTop w:val="0"/>
          <w:marBottom w:val="0"/>
          <w:divBdr>
            <w:top w:val="none" w:sz="0" w:space="0" w:color="auto"/>
            <w:left w:val="none" w:sz="0" w:space="0" w:color="auto"/>
            <w:bottom w:val="none" w:sz="0" w:space="0" w:color="auto"/>
            <w:right w:val="none" w:sz="0" w:space="0" w:color="auto"/>
          </w:divBdr>
        </w:div>
        <w:div w:id="1158839422">
          <w:marLeft w:val="0"/>
          <w:marRight w:val="0"/>
          <w:marTop w:val="0"/>
          <w:marBottom w:val="0"/>
          <w:divBdr>
            <w:top w:val="none" w:sz="0" w:space="0" w:color="auto"/>
            <w:left w:val="none" w:sz="0" w:space="0" w:color="auto"/>
            <w:bottom w:val="none" w:sz="0" w:space="0" w:color="auto"/>
            <w:right w:val="none" w:sz="0" w:space="0" w:color="auto"/>
          </w:divBdr>
          <w:divsChild>
            <w:div w:id="40060071">
              <w:marLeft w:val="0"/>
              <w:marRight w:val="0"/>
              <w:marTop w:val="0"/>
              <w:marBottom w:val="0"/>
              <w:divBdr>
                <w:top w:val="none" w:sz="0" w:space="0" w:color="auto"/>
                <w:left w:val="none" w:sz="0" w:space="0" w:color="auto"/>
                <w:bottom w:val="none" w:sz="0" w:space="0" w:color="auto"/>
                <w:right w:val="none" w:sz="0" w:space="0" w:color="auto"/>
              </w:divBdr>
              <w:divsChild>
                <w:div w:id="18521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40611">
          <w:marLeft w:val="0"/>
          <w:marRight w:val="0"/>
          <w:marTop w:val="0"/>
          <w:marBottom w:val="0"/>
          <w:divBdr>
            <w:top w:val="none" w:sz="0" w:space="0" w:color="auto"/>
            <w:left w:val="none" w:sz="0" w:space="0" w:color="auto"/>
            <w:bottom w:val="none" w:sz="0" w:space="0" w:color="auto"/>
            <w:right w:val="none" w:sz="0" w:space="0" w:color="auto"/>
          </w:divBdr>
        </w:div>
      </w:divsChild>
    </w:div>
    <w:div w:id="463306273">
      <w:bodyDiv w:val="1"/>
      <w:marLeft w:val="0"/>
      <w:marRight w:val="0"/>
      <w:marTop w:val="0"/>
      <w:marBottom w:val="0"/>
      <w:divBdr>
        <w:top w:val="none" w:sz="0" w:space="0" w:color="auto"/>
        <w:left w:val="none" w:sz="0" w:space="0" w:color="auto"/>
        <w:bottom w:val="none" w:sz="0" w:space="0" w:color="auto"/>
        <w:right w:val="none" w:sz="0" w:space="0" w:color="auto"/>
      </w:divBdr>
    </w:div>
    <w:div w:id="683289229">
      <w:bodyDiv w:val="1"/>
      <w:marLeft w:val="0"/>
      <w:marRight w:val="0"/>
      <w:marTop w:val="0"/>
      <w:marBottom w:val="0"/>
      <w:divBdr>
        <w:top w:val="none" w:sz="0" w:space="0" w:color="auto"/>
        <w:left w:val="none" w:sz="0" w:space="0" w:color="auto"/>
        <w:bottom w:val="none" w:sz="0" w:space="0" w:color="auto"/>
        <w:right w:val="none" w:sz="0" w:space="0" w:color="auto"/>
      </w:divBdr>
      <w:divsChild>
        <w:div w:id="1892572261">
          <w:marLeft w:val="0"/>
          <w:marRight w:val="0"/>
          <w:marTop w:val="0"/>
          <w:marBottom w:val="0"/>
          <w:divBdr>
            <w:top w:val="none" w:sz="0" w:space="0" w:color="auto"/>
            <w:left w:val="none" w:sz="0" w:space="0" w:color="auto"/>
            <w:bottom w:val="none" w:sz="0" w:space="0" w:color="auto"/>
            <w:right w:val="none" w:sz="0" w:space="0" w:color="auto"/>
          </w:divBdr>
        </w:div>
        <w:div w:id="561643923">
          <w:marLeft w:val="0"/>
          <w:marRight w:val="0"/>
          <w:marTop w:val="0"/>
          <w:marBottom w:val="0"/>
          <w:divBdr>
            <w:top w:val="none" w:sz="0" w:space="0" w:color="auto"/>
            <w:left w:val="none" w:sz="0" w:space="0" w:color="auto"/>
            <w:bottom w:val="none" w:sz="0" w:space="0" w:color="auto"/>
            <w:right w:val="none" w:sz="0" w:space="0" w:color="auto"/>
          </w:divBdr>
        </w:div>
        <w:div w:id="1998413608">
          <w:marLeft w:val="0"/>
          <w:marRight w:val="0"/>
          <w:marTop w:val="0"/>
          <w:marBottom w:val="0"/>
          <w:divBdr>
            <w:top w:val="none" w:sz="0" w:space="0" w:color="auto"/>
            <w:left w:val="none" w:sz="0" w:space="0" w:color="auto"/>
            <w:bottom w:val="none" w:sz="0" w:space="0" w:color="auto"/>
            <w:right w:val="none" w:sz="0" w:space="0" w:color="auto"/>
          </w:divBdr>
          <w:divsChild>
            <w:div w:id="637489431">
              <w:marLeft w:val="0"/>
              <w:marRight w:val="0"/>
              <w:marTop w:val="0"/>
              <w:marBottom w:val="0"/>
              <w:divBdr>
                <w:top w:val="none" w:sz="0" w:space="0" w:color="auto"/>
                <w:left w:val="none" w:sz="0" w:space="0" w:color="auto"/>
                <w:bottom w:val="none" w:sz="0" w:space="0" w:color="auto"/>
                <w:right w:val="none" w:sz="0" w:space="0" w:color="auto"/>
              </w:divBdr>
              <w:divsChild>
                <w:div w:id="199326071">
                  <w:marLeft w:val="0"/>
                  <w:marRight w:val="0"/>
                  <w:marTop w:val="0"/>
                  <w:marBottom w:val="0"/>
                  <w:divBdr>
                    <w:top w:val="none" w:sz="0" w:space="0" w:color="auto"/>
                    <w:left w:val="none" w:sz="0" w:space="0" w:color="auto"/>
                    <w:bottom w:val="none" w:sz="0" w:space="0" w:color="auto"/>
                    <w:right w:val="none" w:sz="0" w:space="0" w:color="auto"/>
                  </w:divBdr>
                  <w:divsChild>
                    <w:div w:id="79059201">
                      <w:marLeft w:val="0"/>
                      <w:marRight w:val="0"/>
                      <w:marTop w:val="0"/>
                      <w:marBottom w:val="0"/>
                      <w:divBdr>
                        <w:top w:val="none" w:sz="0" w:space="0" w:color="auto"/>
                        <w:left w:val="none" w:sz="0" w:space="0" w:color="auto"/>
                        <w:bottom w:val="none" w:sz="0" w:space="0" w:color="auto"/>
                        <w:right w:val="none" w:sz="0" w:space="0" w:color="auto"/>
                      </w:divBdr>
                      <w:divsChild>
                        <w:div w:id="1482230408">
                          <w:marLeft w:val="0"/>
                          <w:marRight w:val="0"/>
                          <w:marTop w:val="0"/>
                          <w:marBottom w:val="0"/>
                          <w:divBdr>
                            <w:top w:val="none" w:sz="0" w:space="0" w:color="auto"/>
                            <w:left w:val="none" w:sz="0" w:space="0" w:color="auto"/>
                            <w:bottom w:val="none" w:sz="0" w:space="0" w:color="auto"/>
                            <w:right w:val="none" w:sz="0" w:space="0" w:color="auto"/>
                          </w:divBdr>
                          <w:divsChild>
                            <w:div w:id="2025739644">
                              <w:marLeft w:val="0"/>
                              <w:marRight w:val="0"/>
                              <w:marTop w:val="0"/>
                              <w:marBottom w:val="0"/>
                              <w:divBdr>
                                <w:top w:val="none" w:sz="0" w:space="0" w:color="auto"/>
                                <w:left w:val="none" w:sz="0" w:space="0" w:color="auto"/>
                                <w:bottom w:val="none" w:sz="0" w:space="0" w:color="auto"/>
                                <w:right w:val="none" w:sz="0" w:space="0" w:color="auto"/>
                              </w:divBdr>
                            </w:div>
                            <w:div w:id="4539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0123">
                  <w:marLeft w:val="0"/>
                  <w:marRight w:val="0"/>
                  <w:marTop w:val="0"/>
                  <w:marBottom w:val="0"/>
                  <w:divBdr>
                    <w:top w:val="none" w:sz="0" w:space="0" w:color="auto"/>
                    <w:left w:val="none" w:sz="0" w:space="0" w:color="auto"/>
                    <w:bottom w:val="none" w:sz="0" w:space="0" w:color="auto"/>
                    <w:right w:val="none" w:sz="0" w:space="0" w:color="auto"/>
                  </w:divBdr>
                  <w:divsChild>
                    <w:div w:id="120999478">
                      <w:marLeft w:val="0"/>
                      <w:marRight w:val="0"/>
                      <w:marTop w:val="0"/>
                      <w:marBottom w:val="0"/>
                      <w:divBdr>
                        <w:top w:val="none" w:sz="0" w:space="0" w:color="auto"/>
                        <w:left w:val="none" w:sz="0" w:space="0" w:color="auto"/>
                        <w:bottom w:val="none" w:sz="0" w:space="0" w:color="auto"/>
                        <w:right w:val="none" w:sz="0" w:space="0" w:color="auto"/>
                      </w:divBdr>
                      <w:divsChild>
                        <w:div w:id="1777480988">
                          <w:marLeft w:val="0"/>
                          <w:marRight w:val="0"/>
                          <w:marTop w:val="0"/>
                          <w:marBottom w:val="0"/>
                          <w:divBdr>
                            <w:top w:val="none" w:sz="0" w:space="0" w:color="auto"/>
                            <w:left w:val="none" w:sz="0" w:space="0" w:color="auto"/>
                            <w:bottom w:val="none" w:sz="0" w:space="0" w:color="auto"/>
                            <w:right w:val="none" w:sz="0" w:space="0" w:color="auto"/>
                          </w:divBdr>
                          <w:divsChild>
                            <w:div w:id="90442067">
                              <w:marLeft w:val="0"/>
                              <w:marRight w:val="0"/>
                              <w:marTop w:val="0"/>
                              <w:marBottom w:val="0"/>
                              <w:divBdr>
                                <w:top w:val="none" w:sz="0" w:space="0" w:color="auto"/>
                                <w:left w:val="none" w:sz="0" w:space="0" w:color="auto"/>
                                <w:bottom w:val="none" w:sz="0" w:space="0" w:color="auto"/>
                                <w:right w:val="none" w:sz="0" w:space="0" w:color="auto"/>
                              </w:divBdr>
                            </w:div>
                            <w:div w:id="830371803">
                              <w:marLeft w:val="0"/>
                              <w:marRight w:val="0"/>
                              <w:marTop w:val="0"/>
                              <w:marBottom w:val="0"/>
                              <w:divBdr>
                                <w:top w:val="none" w:sz="0" w:space="0" w:color="auto"/>
                                <w:left w:val="none" w:sz="0" w:space="0" w:color="auto"/>
                                <w:bottom w:val="none" w:sz="0" w:space="0" w:color="auto"/>
                                <w:right w:val="none" w:sz="0" w:space="0" w:color="auto"/>
                              </w:divBdr>
                            </w:div>
                            <w:div w:id="788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10904">
                  <w:marLeft w:val="0"/>
                  <w:marRight w:val="0"/>
                  <w:marTop w:val="0"/>
                  <w:marBottom w:val="0"/>
                  <w:divBdr>
                    <w:top w:val="none" w:sz="0" w:space="0" w:color="auto"/>
                    <w:left w:val="none" w:sz="0" w:space="0" w:color="auto"/>
                    <w:bottom w:val="none" w:sz="0" w:space="0" w:color="auto"/>
                    <w:right w:val="none" w:sz="0" w:space="0" w:color="auto"/>
                  </w:divBdr>
                  <w:divsChild>
                    <w:div w:id="2170763">
                      <w:marLeft w:val="0"/>
                      <w:marRight w:val="0"/>
                      <w:marTop w:val="0"/>
                      <w:marBottom w:val="0"/>
                      <w:divBdr>
                        <w:top w:val="none" w:sz="0" w:space="0" w:color="auto"/>
                        <w:left w:val="none" w:sz="0" w:space="0" w:color="auto"/>
                        <w:bottom w:val="none" w:sz="0" w:space="0" w:color="auto"/>
                        <w:right w:val="none" w:sz="0" w:space="0" w:color="auto"/>
                      </w:divBdr>
                      <w:divsChild>
                        <w:div w:id="1531648575">
                          <w:marLeft w:val="0"/>
                          <w:marRight w:val="0"/>
                          <w:marTop w:val="0"/>
                          <w:marBottom w:val="0"/>
                          <w:divBdr>
                            <w:top w:val="none" w:sz="0" w:space="0" w:color="auto"/>
                            <w:left w:val="none" w:sz="0" w:space="0" w:color="auto"/>
                            <w:bottom w:val="none" w:sz="0" w:space="0" w:color="auto"/>
                            <w:right w:val="none" w:sz="0" w:space="0" w:color="auto"/>
                          </w:divBdr>
                          <w:divsChild>
                            <w:div w:id="1843349883">
                              <w:marLeft w:val="0"/>
                              <w:marRight w:val="0"/>
                              <w:marTop w:val="0"/>
                              <w:marBottom w:val="0"/>
                              <w:divBdr>
                                <w:top w:val="none" w:sz="0" w:space="0" w:color="auto"/>
                                <w:left w:val="none" w:sz="0" w:space="0" w:color="auto"/>
                                <w:bottom w:val="none" w:sz="0" w:space="0" w:color="auto"/>
                                <w:right w:val="none" w:sz="0" w:space="0" w:color="auto"/>
                              </w:divBdr>
                            </w:div>
                            <w:div w:id="173230373">
                              <w:marLeft w:val="0"/>
                              <w:marRight w:val="0"/>
                              <w:marTop w:val="0"/>
                              <w:marBottom w:val="0"/>
                              <w:divBdr>
                                <w:top w:val="none" w:sz="0" w:space="0" w:color="auto"/>
                                <w:left w:val="none" w:sz="0" w:space="0" w:color="auto"/>
                                <w:bottom w:val="none" w:sz="0" w:space="0" w:color="auto"/>
                                <w:right w:val="none" w:sz="0" w:space="0" w:color="auto"/>
                              </w:divBdr>
                            </w:div>
                            <w:div w:id="7325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811893">
      <w:bodyDiv w:val="1"/>
      <w:marLeft w:val="0"/>
      <w:marRight w:val="0"/>
      <w:marTop w:val="0"/>
      <w:marBottom w:val="0"/>
      <w:divBdr>
        <w:top w:val="none" w:sz="0" w:space="0" w:color="auto"/>
        <w:left w:val="none" w:sz="0" w:space="0" w:color="auto"/>
        <w:bottom w:val="none" w:sz="0" w:space="0" w:color="auto"/>
        <w:right w:val="none" w:sz="0" w:space="0" w:color="auto"/>
      </w:divBdr>
    </w:div>
    <w:div w:id="1639872540">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nowinstitute.org/AI_Now_2018_Report.pdf" TargetMode="External"/><Relationship Id="rId18" Type="http://schemas.openxmlformats.org/officeDocument/2006/relationships/hyperlink" Target="https://ainowinstitute.org/discriminatingsystem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ackagingeurope.com/topics/victoria-hattersley/" TargetMode="External"/><Relationship Id="rId7" Type="http://schemas.openxmlformats.org/officeDocument/2006/relationships/webSettings" Target="webSettings.xml"/><Relationship Id="rId12" Type="http://schemas.openxmlformats.org/officeDocument/2006/relationships/hyperlink" Target="https://www.ibm.com/watson/assets/duo/pdf/everydayethics.pdf" TargetMode="External"/><Relationship Id="rId17" Type="http://schemas.openxmlformats.org/officeDocument/2006/relationships/hyperlink" Target="https://venturebeat.com/2019/07/17/how-ai-companies-can-avoid-ethics-wash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uters.com/article/us-amazon-com-jobs-automation-insight/amazon-scraps-secret-ai-recruiting-tool-that-showed-bias-against-women-idUSKCN1MK08G" TargetMode="External"/><Relationship Id="rId20" Type="http://schemas.openxmlformats.org/officeDocument/2006/relationships/hyperlink" Target="https://safiyaunoble.com/role-artificial-intelligence-society-next-human-rights-issue-21st-century/?utm_source=VentureBeat&amp;utm_campaign=16d608696c-AIWeekly&amp;utm_medium=email&amp;utm_term=0_89d8059242-16d608696c-46598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wc.com/gx/en/issues/data-and-analytics/artificial-intelligence/what-is-responsible-ai/responsible-ai-practical-guide.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propublica.org/article/machine-bias-risk-assessments-in-criminal-sentencing" TargetMode="External"/><Relationship Id="rId23" Type="http://schemas.openxmlformats.org/officeDocument/2006/relationships/hyperlink" Target="https://www.partnershiponai.org/ai-and-media-integrity-steering-committee/" TargetMode="External"/><Relationship Id="rId10" Type="http://schemas.openxmlformats.org/officeDocument/2006/relationships/hyperlink" Target="https://knowledge.wharton.upenn.edu/article/want-responsible-ai-think-business-outcomes/" TargetMode="External"/><Relationship Id="rId19" Type="http://schemas.openxmlformats.org/officeDocument/2006/relationships/hyperlink" Target="https://www.cnbc.com/2018/03/13/elon-musk-at-sxsw-a-i-is-more-dangerous-than-nuclear-weapo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nowledge.wharton.upenn.edu/article/want-responsible-ai-think-business-outcomes/" TargetMode="External"/><Relationship Id="rId2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EB900714977D45AC7778172390D8E4" ma:contentTypeVersion="10" ma:contentTypeDescription="Crée un document." ma:contentTypeScope="" ma:versionID="38e0024029556172693acf75c8340cef">
  <xsd:schema xmlns:xsd="http://www.w3.org/2001/XMLSchema" xmlns:xs="http://www.w3.org/2001/XMLSchema" xmlns:p="http://schemas.microsoft.com/office/2006/metadata/properties" xmlns:ns3="b48f3025-8791-46ae-8386-74ad80e6d9df" targetNamespace="http://schemas.microsoft.com/office/2006/metadata/properties" ma:root="true" ma:fieldsID="edead98cf6a77c327ff57036e19135d1" ns3:_="">
    <xsd:import namespace="b48f3025-8791-46ae-8386-74ad80e6d9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3025-8791-46ae-8386-74ad80e6d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9C72C-C0B4-4FE7-8047-45DFD1C32304}">
  <ds:schemaRefs>
    <ds:schemaRef ds:uri="http://purl.org/dc/elements/1.1/"/>
    <ds:schemaRef ds:uri="http://schemas.microsoft.com/office/2006/metadata/properties"/>
    <ds:schemaRef ds:uri="b48f3025-8791-46ae-8386-74ad80e6d9d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2538F5-C376-4640-B0B8-B01F8057A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f3025-8791-46ae-8386-74ad80e6d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BC75C-0CED-42B5-BEEB-8CF404B3C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5658</Words>
  <Characters>31124</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Sea Bez</cp:lastModifiedBy>
  <cp:revision>2</cp:revision>
  <dcterms:created xsi:type="dcterms:W3CDTF">2022-09-13T13:36:00Z</dcterms:created>
  <dcterms:modified xsi:type="dcterms:W3CDTF">2022-09-13T13:36:00Z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0x01010096EB900714977D45AC7778172390D8E4</vt:lpwstr>
  </property>
</Properties>
</file>