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8BEDD" w14:textId="6D4B7111" w:rsidR="00A24E65" w:rsidRPr="00D920CF" w:rsidRDefault="00545AC9" w:rsidP="00D920CF">
      <w:pPr>
        <w:jc w:val="center"/>
        <w:rPr>
          <w:b/>
          <w:bCs/>
          <w:sz w:val="44"/>
          <w:szCs w:val="44"/>
        </w:rPr>
      </w:pPr>
      <w:r w:rsidRPr="00D920CF">
        <w:rPr>
          <w:b/>
          <w:bCs/>
          <w:sz w:val="44"/>
          <w:szCs w:val="44"/>
        </w:rPr>
        <w:t>LES FINANCES LOCALES DANS LA CONJONCTURE</w:t>
      </w:r>
    </w:p>
    <w:p w14:paraId="023D878D" w14:textId="0D85CEC5" w:rsidR="00545AC9" w:rsidRDefault="00545AC9"/>
    <w:p w14:paraId="615A04ED" w14:textId="557BF321" w:rsidR="00545AC9" w:rsidRDefault="00545AC9"/>
    <w:p w14:paraId="0F2B1C92" w14:textId="11194102" w:rsidR="00545AC9" w:rsidRDefault="00545AC9"/>
    <w:p w14:paraId="10DFA2FA" w14:textId="6E7BFB9A" w:rsidR="00D920CF" w:rsidRDefault="00D920CF"/>
    <w:p w14:paraId="293E0EB3" w14:textId="4CC6B05C" w:rsidR="00D920CF" w:rsidRDefault="00D920CF"/>
    <w:p w14:paraId="7D689043" w14:textId="2F734830" w:rsidR="00D920CF" w:rsidRDefault="00D920CF"/>
    <w:p w14:paraId="74A51800" w14:textId="77777777" w:rsidR="00D920CF" w:rsidRDefault="00D920CF"/>
    <w:p w14:paraId="3B7A9F1D" w14:textId="050F8F28" w:rsidR="00545AC9" w:rsidRPr="007F7711" w:rsidRDefault="00545AC9" w:rsidP="00660CD9">
      <w:pPr>
        <w:shd w:val="clear" w:color="auto" w:fill="8CFBE8"/>
        <w:rPr>
          <w:b/>
          <w:bCs/>
          <w:sz w:val="32"/>
          <w:szCs w:val="32"/>
        </w:rPr>
      </w:pPr>
      <w:r w:rsidRPr="007F7711">
        <w:rPr>
          <w:b/>
          <w:bCs/>
          <w:sz w:val="32"/>
          <w:szCs w:val="32"/>
        </w:rPr>
        <w:t>1</w:t>
      </w:r>
      <w:r w:rsidRPr="007F7711">
        <w:rPr>
          <w:b/>
          <w:bCs/>
          <w:sz w:val="32"/>
          <w:szCs w:val="32"/>
          <w:vertAlign w:val="superscript"/>
        </w:rPr>
        <w:t>ère</w:t>
      </w:r>
      <w:r w:rsidRPr="007F7711">
        <w:rPr>
          <w:b/>
          <w:bCs/>
          <w:sz w:val="32"/>
          <w:szCs w:val="32"/>
        </w:rPr>
        <w:t xml:space="preserve"> période, à partir de 1996, période d’excédents budgétaires.</w:t>
      </w:r>
    </w:p>
    <w:p w14:paraId="40121A1C" w14:textId="108E80FA" w:rsidR="00545AC9" w:rsidRPr="007F7711" w:rsidRDefault="00545AC9" w:rsidP="00660CD9">
      <w:pPr>
        <w:shd w:val="clear" w:color="auto" w:fill="8CFBE8"/>
        <w:rPr>
          <w:sz w:val="32"/>
          <w:szCs w:val="32"/>
        </w:rPr>
      </w:pPr>
      <w:r w:rsidRPr="007F7711">
        <w:rPr>
          <w:sz w:val="32"/>
          <w:szCs w:val="32"/>
        </w:rPr>
        <w:t>On enregistre des années avec des excédents plus importants.</w:t>
      </w:r>
      <w:r w:rsidRPr="007F7711">
        <w:rPr>
          <w:sz w:val="32"/>
          <w:szCs w:val="32"/>
        </w:rPr>
        <w:br/>
        <w:t>Par exemple 1999 +4,3 Mds d’euros.</w:t>
      </w:r>
    </w:p>
    <w:p w14:paraId="33D548E9" w14:textId="4030AFEA" w:rsidR="00545AC9" w:rsidRPr="007F7711" w:rsidRDefault="00545AC9" w:rsidP="00660CD9">
      <w:pPr>
        <w:shd w:val="clear" w:color="auto" w:fill="FFFF00"/>
        <w:rPr>
          <w:sz w:val="32"/>
          <w:szCs w:val="32"/>
        </w:rPr>
      </w:pPr>
      <w:r w:rsidRPr="007F7711">
        <w:rPr>
          <w:sz w:val="32"/>
          <w:szCs w:val="32"/>
        </w:rPr>
        <w:t>8 années d’excédents 1996 – 2003 inclus.</w:t>
      </w:r>
    </w:p>
    <w:p w14:paraId="26D980FF" w14:textId="01367A14" w:rsidR="00545AC9" w:rsidRPr="007F7711" w:rsidRDefault="00545AC9">
      <w:pPr>
        <w:rPr>
          <w:sz w:val="32"/>
          <w:szCs w:val="32"/>
        </w:rPr>
      </w:pPr>
    </w:p>
    <w:p w14:paraId="21F5F0AA" w14:textId="7E793CFC" w:rsidR="00545AC9" w:rsidRPr="007F7711" w:rsidRDefault="00545AC9" w:rsidP="00660CD9">
      <w:pPr>
        <w:shd w:val="clear" w:color="auto" w:fill="FFC5FB"/>
        <w:rPr>
          <w:b/>
          <w:bCs/>
          <w:sz w:val="32"/>
          <w:szCs w:val="32"/>
        </w:rPr>
      </w:pPr>
      <w:r w:rsidRPr="007F7711">
        <w:rPr>
          <w:b/>
          <w:bCs/>
          <w:sz w:val="32"/>
          <w:szCs w:val="32"/>
        </w:rPr>
        <w:t>2</w:t>
      </w:r>
      <w:r w:rsidRPr="007F7711">
        <w:rPr>
          <w:b/>
          <w:bCs/>
          <w:sz w:val="32"/>
          <w:szCs w:val="32"/>
          <w:vertAlign w:val="superscript"/>
        </w:rPr>
        <w:t>ème</w:t>
      </w:r>
      <w:r w:rsidRPr="007F7711">
        <w:rPr>
          <w:b/>
          <w:bCs/>
          <w:sz w:val="32"/>
          <w:szCs w:val="32"/>
        </w:rPr>
        <w:t xml:space="preserve"> période, à partir de 2004, retour des déficits.</w:t>
      </w:r>
    </w:p>
    <w:p w14:paraId="2E9B1A19" w14:textId="593F4514" w:rsidR="00545AC9" w:rsidRPr="007F7711" w:rsidRDefault="00545AC9" w:rsidP="00660CD9">
      <w:pPr>
        <w:shd w:val="clear" w:color="auto" w:fill="FFC5FB"/>
        <w:rPr>
          <w:sz w:val="32"/>
          <w:szCs w:val="32"/>
        </w:rPr>
      </w:pPr>
      <w:r w:rsidRPr="007F7711">
        <w:rPr>
          <w:sz w:val="32"/>
          <w:szCs w:val="32"/>
        </w:rPr>
        <w:t>On enregistre des années avec des déficits plus lourds :</w:t>
      </w:r>
    </w:p>
    <w:p w14:paraId="6B49EDA0" w14:textId="5CCC6AD2" w:rsidR="00545AC9" w:rsidRPr="007F7711" w:rsidRDefault="00545AC9" w:rsidP="00660CD9">
      <w:pPr>
        <w:shd w:val="clear" w:color="auto" w:fill="FFC5FB"/>
        <w:rPr>
          <w:sz w:val="32"/>
          <w:szCs w:val="32"/>
        </w:rPr>
      </w:pPr>
      <w:r w:rsidRPr="007F7711">
        <w:rPr>
          <w:sz w:val="32"/>
          <w:szCs w:val="32"/>
        </w:rPr>
        <w:t>2007 = -7,7 Mds €</w:t>
      </w:r>
    </w:p>
    <w:p w14:paraId="292AE331" w14:textId="406E3A2D" w:rsidR="00545AC9" w:rsidRPr="007F7711" w:rsidRDefault="00545AC9" w:rsidP="00660CD9">
      <w:pPr>
        <w:shd w:val="clear" w:color="auto" w:fill="FFC5FB"/>
        <w:rPr>
          <w:sz w:val="32"/>
          <w:szCs w:val="32"/>
        </w:rPr>
      </w:pPr>
      <w:r w:rsidRPr="007F7711">
        <w:rPr>
          <w:sz w:val="32"/>
          <w:szCs w:val="32"/>
        </w:rPr>
        <w:t>2008 = -9,5 Mds €</w:t>
      </w:r>
    </w:p>
    <w:p w14:paraId="5FBA96C7" w14:textId="453E00DD" w:rsidR="00545AC9" w:rsidRPr="007F7711" w:rsidRDefault="00545AC9" w:rsidP="00660CD9">
      <w:pPr>
        <w:shd w:val="clear" w:color="auto" w:fill="FFC5FB"/>
        <w:rPr>
          <w:sz w:val="32"/>
          <w:szCs w:val="32"/>
        </w:rPr>
      </w:pPr>
      <w:r w:rsidRPr="007F7711">
        <w:rPr>
          <w:sz w:val="32"/>
          <w:szCs w:val="32"/>
        </w:rPr>
        <w:t>2013 = -9,2 Mds €</w:t>
      </w:r>
    </w:p>
    <w:p w14:paraId="76B3FE1E" w14:textId="67030BB9" w:rsidR="00545AC9" w:rsidRPr="007F7711" w:rsidRDefault="00545AC9" w:rsidP="00660CD9">
      <w:pPr>
        <w:shd w:val="clear" w:color="auto" w:fill="FFFF00"/>
        <w:rPr>
          <w:sz w:val="32"/>
          <w:szCs w:val="32"/>
        </w:rPr>
      </w:pPr>
      <w:r w:rsidRPr="007F7711">
        <w:rPr>
          <w:sz w:val="32"/>
          <w:szCs w:val="32"/>
        </w:rPr>
        <w:t>12 années de déficit entre 2004 et 2015</w:t>
      </w:r>
    </w:p>
    <w:p w14:paraId="7AE59F15" w14:textId="2CACF973" w:rsidR="00545AC9" w:rsidRPr="007F7711" w:rsidRDefault="00545AC9" w:rsidP="00660CD9">
      <w:pPr>
        <w:shd w:val="clear" w:color="auto" w:fill="FFC5FB"/>
        <w:rPr>
          <w:sz w:val="32"/>
          <w:szCs w:val="32"/>
        </w:rPr>
      </w:pPr>
      <w:r w:rsidRPr="007F7711">
        <w:rPr>
          <w:sz w:val="32"/>
          <w:szCs w:val="32"/>
        </w:rPr>
        <w:t>Pour la dernière année de la période, on est presque à l’équilibre avec -0,1 Md    €</w:t>
      </w:r>
    </w:p>
    <w:p w14:paraId="02EA8EE4" w14:textId="7B7879B2" w:rsidR="00545AC9" w:rsidRPr="007F7711" w:rsidRDefault="00545AC9">
      <w:pPr>
        <w:rPr>
          <w:sz w:val="32"/>
          <w:szCs w:val="32"/>
        </w:rPr>
      </w:pPr>
    </w:p>
    <w:p w14:paraId="57E19CB3" w14:textId="39728436" w:rsidR="00545AC9" w:rsidRPr="007F7711" w:rsidRDefault="00545AC9" w:rsidP="00660CD9">
      <w:pPr>
        <w:shd w:val="clear" w:color="auto" w:fill="8CFBE8"/>
        <w:rPr>
          <w:b/>
          <w:bCs/>
          <w:sz w:val="32"/>
          <w:szCs w:val="32"/>
        </w:rPr>
      </w:pPr>
      <w:r w:rsidRPr="007F7711">
        <w:rPr>
          <w:b/>
          <w:bCs/>
          <w:sz w:val="32"/>
          <w:szCs w:val="32"/>
        </w:rPr>
        <w:t>3</w:t>
      </w:r>
      <w:r w:rsidRPr="007F7711">
        <w:rPr>
          <w:b/>
          <w:bCs/>
          <w:sz w:val="32"/>
          <w:szCs w:val="32"/>
          <w:vertAlign w:val="superscript"/>
        </w:rPr>
        <w:t>ème</w:t>
      </w:r>
      <w:r w:rsidRPr="007F7711">
        <w:rPr>
          <w:b/>
          <w:bCs/>
          <w:sz w:val="32"/>
          <w:szCs w:val="32"/>
        </w:rPr>
        <w:t xml:space="preserve"> période à partir de 2016, courte période d’excédents. </w:t>
      </w:r>
    </w:p>
    <w:p w14:paraId="7946CCCD" w14:textId="5D4C914C" w:rsidR="00545AC9" w:rsidRPr="007F7711" w:rsidRDefault="00545AC9" w:rsidP="00660CD9">
      <w:pPr>
        <w:shd w:val="clear" w:color="auto" w:fill="8CFBE8"/>
        <w:rPr>
          <w:sz w:val="32"/>
          <w:szCs w:val="32"/>
        </w:rPr>
      </w:pPr>
      <w:r w:rsidRPr="007F7711">
        <w:rPr>
          <w:sz w:val="32"/>
          <w:szCs w:val="32"/>
        </w:rPr>
        <w:t>2016 = +3,0 Mds €</w:t>
      </w:r>
    </w:p>
    <w:p w14:paraId="5D6EE8D6" w14:textId="4CE8280C" w:rsidR="00545AC9" w:rsidRPr="007F7711" w:rsidRDefault="00545AC9" w:rsidP="00660CD9">
      <w:pPr>
        <w:shd w:val="clear" w:color="auto" w:fill="8CFBE8"/>
        <w:rPr>
          <w:sz w:val="32"/>
          <w:szCs w:val="32"/>
        </w:rPr>
      </w:pPr>
      <w:r w:rsidRPr="007F7711">
        <w:rPr>
          <w:sz w:val="32"/>
          <w:szCs w:val="32"/>
        </w:rPr>
        <w:t>2017 = +1,6 Mds €</w:t>
      </w:r>
    </w:p>
    <w:p w14:paraId="015522F7" w14:textId="45F6A846" w:rsidR="00545AC9" w:rsidRPr="007F7711" w:rsidRDefault="00545AC9" w:rsidP="00660CD9">
      <w:pPr>
        <w:shd w:val="clear" w:color="auto" w:fill="8CFBE8"/>
        <w:rPr>
          <w:sz w:val="32"/>
          <w:szCs w:val="32"/>
        </w:rPr>
      </w:pPr>
      <w:r w:rsidRPr="007F7711">
        <w:rPr>
          <w:sz w:val="32"/>
          <w:szCs w:val="32"/>
        </w:rPr>
        <w:t>2018 = +2,7 Mds €</w:t>
      </w:r>
    </w:p>
    <w:p w14:paraId="0E9795EA" w14:textId="1F1AC308" w:rsidR="00545AC9" w:rsidRPr="007F7711" w:rsidRDefault="00545AC9" w:rsidP="00660CD9">
      <w:pPr>
        <w:shd w:val="clear" w:color="auto" w:fill="FFFF00"/>
        <w:rPr>
          <w:sz w:val="32"/>
          <w:szCs w:val="32"/>
        </w:rPr>
      </w:pPr>
      <w:r w:rsidRPr="007F7711">
        <w:rPr>
          <w:sz w:val="32"/>
          <w:szCs w:val="32"/>
        </w:rPr>
        <w:t>Seulement 3 bonnes années.</w:t>
      </w:r>
    </w:p>
    <w:p w14:paraId="60B8CA6B" w14:textId="2C3A53C6" w:rsidR="00545AC9" w:rsidRPr="007F7711" w:rsidRDefault="00545AC9">
      <w:pPr>
        <w:rPr>
          <w:sz w:val="32"/>
          <w:szCs w:val="32"/>
        </w:rPr>
      </w:pPr>
    </w:p>
    <w:p w14:paraId="54AC91CB" w14:textId="58B20C72" w:rsidR="00545AC9" w:rsidRPr="007F7711" w:rsidRDefault="00545AC9" w:rsidP="00660CD9">
      <w:pPr>
        <w:shd w:val="clear" w:color="auto" w:fill="FFC5FB"/>
        <w:rPr>
          <w:b/>
          <w:bCs/>
          <w:sz w:val="32"/>
          <w:szCs w:val="32"/>
        </w:rPr>
      </w:pPr>
      <w:r w:rsidRPr="007F7711">
        <w:rPr>
          <w:b/>
          <w:bCs/>
          <w:sz w:val="32"/>
          <w:szCs w:val="32"/>
        </w:rPr>
        <w:t>4</w:t>
      </w:r>
      <w:r w:rsidRPr="007F7711">
        <w:rPr>
          <w:b/>
          <w:bCs/>
          <w:sz w:val="32"/>
          <w:szCs w:val="32"/>
          <w:vertAlign w:val="superscript"/>
        </w:rPr>
        <w:t>ème</w:t>
      </w:r>
      <w:r w:rsidRPr="007F7711">
        <w:rPr>
          <w:b/>
          <w:bCs/>
          <w:sz w:val="32"/>
          <w:szCs w:val="32"/>
        </w:rPr>
        <w:t xml:space="preserve"> période à partir de 2019, on repasse dans le rouge.</w:t>
      </w:r>
    </w:p>
    <w:p w14:paraId="41946807" w14:textId="67831DEE" w:rsidR="00545AC9" w:rsidRPr="007F7711" w:rsidRDefault="00545AC9" w:rsidP="00660CD9">
      <w:pPr>
        <w:shd w:val="clear" w:color="auto" w:fill="FFC5FB"/>
        <w:rPr>
          <w:sz w:val="32"/>
          <w:szCs w:val="32"/>
        </w:rPr>
      </w:pPr>
      <w:r w:rsidRPr="007F7711">
        <w:rPr>
          <w:sz w:val="32"/>
          <w:szCs w:val="32"/>
        </w:rPr>
        <w:t>2019 = -</w:t>
      </w:r>
      <w:r w:rsidR="00660CD9">
        <w:rPr>
          <w:sz w:val="32"/>
          <w:szCs w:val="32"/>
        </w:rPr>
        <w:t>1,1</w:t>
      </w:r>
      <w:r w:rsidRPr="007F7711">
        <w:rPr>
          <w:sz w:val="32"/>
          <w:szCs w:val="32"/>
        </w:rPr>
        <w:t xml:space="preserve"> Md € </w:t>
      </w:r>
    </w:p>
    <w:p w14:paraId="214CF52B" w14:textId="23F30F1D" w:rsidR="00545AC9" w:rsidRDefault="00660CD9" w:rsidP="00660CD9">
      <w:pPr>
        <w:shd w:val="clear" w:color="auto" w:fill="FFC5FB"/>
        <w:rPr>
          <w:sz w:val="32"/>
          <w:szCs w:val="32"/>
        </w:rPr>
      </w:pPr>
      <w:r>
        <w:rPr>
          <w:sz w:val="32"/>
          <w:szCs w:val="32"/>
        </w:rPr>
        <w:t>L</w:t>
      </w:r>
      <w:r w:rsidR="00D920CF" w:rsidRPr="007F7711">
        <w:rPr>
          <w:sz w:val="32"/>
          <w:szCs w:val="32"/>
        </w:rPr>
        <w:t>a crise du COVID-19 va impacter le solde des APUL</w:t>
      </w:r>
      <w:r>
        <w:rPr>
          <w:sz w:val="32"/>
          <w:szCs w:val="32"/>
        </w:rPr>
        <w:t> :</w:t>
      </w:r>
    </w:p>
    <w:p w14:paraId="3E97A320" w14:textId="002372A2" w:rsidR="00660CD9" w:rsidRPr="007F7711" w:rsidRDefault="00660CD9" w:rsidP="00660CD9">
      <w:pPr>
        <w:shd w:val="clear" w:color="auto" w:fill="FFC5FB"/>
        <w:rPr>
          <w:sz w:val="32"/>
          <w:szCs w:val="32"/>
        </w:rPr>
      </w:pPr>
      <w:proofErr w:type="gramStart"/>
      <w:r>
        <w:rPr>
          <w:sz w:val="32"/>
          <w:szCs w:val="32"/>
        </w:rPr>
        <w:t>2020  =</w:t>
      </w:r>
      <w:proofErr w:type="gramEnd"/>
      <w:r>
        <w:rPr>
          <w:sz w:val="32"/>
          <w:szCs w:val="32"/>
        </w:rPr>
        <w:t xml:space="preserve"> -4,2 Mds€.</w:t>
      </w:r>
    </w:p>
    <w:sectPr w:rsidR="00660CD9" w:rsidRPr="007F7711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C9"/>
    <w:rsid w:val="00545AC9"/>
    <w:rsid w:val="00660CD9"/>
    <w:rsid w:val="007F7711"/>
    <w:rsid w:val="00A24E65"/>
    <w:rsid w:val="00D920CF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416F9"/>
  <w15:chartTrackingRefBased/>
  <w15:docId w15:val="{989F1BEF-DA90-8443-A6BD-44DFEA1B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2</cp:revision>
  <dcterms:created xsi:type="dcterms:W3CDTF">2021-01-11T16:37:00Z</dcterms:created>
  <dcterms:modified xsi:type="dcterms:W3CDTF">2022-01-17T23:01:00Z</dcterms:modified>
</cp:coreProperties>
</file>