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8DC7" w14:textId="77777777" w:rsidR="00577E3F" w:rsidRDefault="00577E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5"/>
        <w:gridCol w:w="672"/>
        <w:gridCol w:w="1136"/>
        <w:gridCol w:w="408"/>
        <w:gridCol w:w="1386"/>
        <w:gridCol w:w="410"/>
        <w:gridCol w:w="1508"/>
        <w:gridCol w:w="583"/>
        <w:gridCol w:w="1384"/>
        <w:gridCol w:w="566"/>
      </w:tblGrid>
      <w:tr w:rsidR="00B42040" w14:paraId="22D89325" w14:textId="77777777" w:rsidTr="00725AE8">
        <w:tc>
          <w:tcPr>
            <w:tcW w:w="1235" w:type="dxa"/>
          </w:tcPr>
          <w:p w14:paraId="635AFD68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34B8711F" w14:textId="788DA956" w:rsidR="00B42040" w:rsidRDefault="004805D3">
            <w:r>
              <w:t>X</w:t>
            </w:r>
            <w:r w:rsidR="00FF1533">
              <w:t>A</w:t>
            </w:r>
            <w:r>
              <w:t>4S712</w:t>
            </w:r>
          </w:p>
        </w:tc>
      </w:tr>
      <w:tr w:rsidR="00B42040" w:rsidRPr="00FF1533" w14:paraId="194FBB2C" w14:textId="77777777" w:rsidTr="00725AE8">
        <w:tc>
          <w:tcPr>
            <w:tcW w:w="1235" w:type="dxa"/>
          </w:tcPr>
          <w:p w14:paraId="6991C6F5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188AA103" w14:textId="4F187237" w:rsidR="00B42040" w:rsidRPr="004805D3" w:rsidRDefault="005610C0">
            <w:pPr>
              <w:rPr>
                <w:lang w:val="en-US"/>
              </w:rPr>
            </w:pPr>
            <w:r w:rsidRPr="004805D3">
              <w:rPr>
                <w:lang w:val="en-US"/>
              </w:rPr>
              <w:t>Aquatic ecosystems survey and management</w:t>
            </w:r>
          </w:p>
        </w:tc>
      </w:tr>
      <w:tr w:rsidR="00725AE8" w14:paraId="668DDACE" w14:textId="77777777" w:rsidTr="00725AE8">
        <w:tc>
          <w:tcPr>
            <w:tcW w:w="1235" w:type="dxa"/>
          </w:tcPr>
          <w:p w14:paraId="22CC3A9D" w14:textId="36891A02" w:rsidR="00725AE8" w:rsidRPr="00B42040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  <w:r w:rsidR="005610C0">
              <w:rPr>
                <w:lang w:val="en-US"/>
              </w:rPr>
              <w:t xml:space="preserve"> : 3</w:t>
            </w:r>
          </w:p>
        </w:tc>
        <w:tc>
          <w:tcPr>
            <w:tcW w:w="672" w:type="dxa"/>
          </w:tcPr>
          <w:p w14:paraId="0FF15249" w14:textId="77777777" w:rsidR="00725AE8" w:rsidRDefault="00725AE8"/>
        </w:tc>
        <w:tc>
          <w:tcPr>
            <w:tcW w:w="1136" w:type="dxa"/>
          </w:tcPr>
          <w:p w14:paraId="37EE654E" w14:textId="77777777" w:rsidR="00725AE8" w:rsidRDefault="00725AE8" w:rsidP="00725AE8">
            <w:r>
              <w:t>Lecture(h)</w:t>
            </w:r>
          </w:p>
          <w:p w14:paraId="4FB1304F" w14:textId="0CBE414A" w:rsidR="00725AE8" w:rsidRDefault="00725AE8" w:rsidP="00725AE8">
            <w:r>
              <w:t>CM</w:t>
            </w:r>
            <w:r w:rsidR="007279A9">
              <w:t> :</w:t>
            </w:r>
            <w:r w:rsidR="00601297">
              <w:t xml:space="preserve"> </w:t>
            </w:r>
            <w:r w:rsidR="005610C0">
              <w:t>15</w:t>
            </w:r>
          </w:p>
        </w:tc>
        <w:tc>
          <w:tcPr>
            <w:tcW w:w="408" w:type="dxa"/>
          </w:tcPr>
          <w:p w14:paraId="5B9731C5" w14:textId="77777777" w:rsidR="00725AE8" w:rsidRDefault="00725AE8"/>
        </w:tc>
        <w:tc>
          <w:tcPr>
            <w:tcW w:w="1386" w:type="dxa"/>
          </w:tcPr>
          <w:p w14:paraId="525D420F" w14:textId="77777777" w:rsidR="00725AE8" w:rsidRDefault="00725AE8">
            <w:r>
              <w:t>Tutorials (h)</w:t>
            </w:r>
          </w:p>
          <w:p w14:paraId="5EBC1E14" w14:textId="62B9C904" w:rsidR="00725AE8" w:rsidRDefault="00725AE8">
            <w:r>
              <w:t>TD</w:t>
            </w:r>
            <w:r w:rsidR="007279A9">
              <w:t xml:space="preserve"> : </w:t>
            </w:r>
            <w:r w:rsidR="005610C0">
              <w:t>24</w:t>
            </w:r>
          </w:p>
        </w:tc>
        <w:tc>
          <w:tcPr>
            <w:tcW w:w="410" w:type="dxa"/>
          </w:tcPr>
          <w:p w14:paraId="71DABCEE" w14:textId="77777777" w:rsidR="00725AE8" w:rsidRDefault="00725AE8"/>
        </w:tc>
        <w:tc>
          <w:tcPr>
            <w:tcW w:w="1508" w:type="dxa"/>
          </w:tcPr>
          <w:p w14:paraId="6F8EE43A" w14:textId="3436A9A7" w:rsidR="00725AE8" w:rsidRDefault="00725AE8">
            <w:r>
              <w:t>Pratical works (h) TP</w:t>
            </w:r>
            <w:r w:rsidR="00601297">
              <w:t> </w:t>
            </w:r>
          </w:p>
        </w:tc>
        <w:tc>
          <w:tcPr>
            <w:tcW w:w="583" w:type="dxa"/>
          </w:tcPr>
          <w:p w14:paraId="57D68951" w14:textId="77777777" w:rsidR="00725AE8" w:rsidRDefault="00725AE8"/>
        </w:tc>
        <w:tc>
          <w:tcPr>
            <w:tcW w:w="1384" w:type="dxa"/>
          </w:tcPr>
          <w:p w14:paraId="1F3BFE53" w14:textId="77777777" w:rsidR="00725AE8" w:rsidRDefault="00725AE8">
            <w:r>
              <w:t>Project (h)</w:t>
            </w:r>
          </w:p>
          <w:p w14:paraId="5C5ED931" w14:textId="0B6C7FA7" w:rsidR="00965077" w:rsidRDefault="00965077"/>
        </w:tc>
        <w:tc>
          <w:tcPr>
            <w:tcW w:w="566" w:type="dxa"/>
          </w:tcPr>
          <w:p w14:paraId="3DBF14CD" w14:textId="77777777" w:rsidR="00725AE8" w:rsidRDefault="00725AE8"/>
        </w:tc>
      </w:tr>
      <w:tr w:rsidR="00B42040" w:rsidRPr="00FF1533" w14:paraId="03CEF4A8" w14:textId="77777777" w:rsidTr="00725AE8">
        <w:trPr>
          <w:trHeight w:val="547"/>
        </w:trPr>
        <w:tc>
          <w:tcPr>
            <w:tcW w:w="9288" w:type="dxa"/>
            <w:gridSpan w:val="10"/>
          </w:tcPr>
          <w:p w14:paraId="6B1004F9" w14:textId="77777777" w:rsid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064E4F5C" w14:textId="447DFCE9" w:rsidR="005610C0" w:rsidRDefault="005610C0" w:rsidP="005610C0">
            <w:pPr>
              <w:rPr>
                <w:lang w:val="en-GB"/>
              </w:rPr>
            </w:pPr>
            <w:r w:rsidRPr="001E472B">
              <w:rPr>
                <w:lang w:val="en-GB"/>
              </w:rPr>
              <w:t>This course provides concepts and methodologies for i) biological data acquisition (sampling methods, fishing techniques, etc.), ii) population and community study (abundance assessments, mark-recapture methods, modelling, multivariate analyses, etc.), and iii) habitat and biological resource managements (preservation, restoration, su</w:t>
            </w:r>
            <w:r>
              <w:rPr>
                <w:lang w:val="en-GB"/>
              </w:rPr>
              <w:t>s</w:t>
            </w:r>
            <w:r w:rsidRPr="001E472B">
              <w:rPr>
                <w:lang w:val="en-GB"/>
              </w:rPr>
              <w:t>tainability, etc.). It also provides tools (biological indicators) to assess the ecological quality of aquatic ecosystems in the context of the EU Water Framework Directive.</w:t>
            </w:r>
            <w:r>
              <w:rPr>
                <w:lang w:val="en-GB"/>
              </w:rPr>
              <w:t xml:space="preserve"> </w:t>
            </w:r>
          </w:p>
          <w:p w14:paraId="177DEC3B" w14:textId="77777777" w:rsidR="005610C0" w:rsidRDefault="005610C0" w:rsidP="005610C0">
            <w:pPr>
              <w:rPr>
                <w:lang w:val="en-GB"/>
              </w:rPr>
            </w:pPr>
          </w:p>
          <w:p w14:paraId="2297047D" w14:textId="1693F732" w:rsidR="008A31D9" w:rsidRDefault="008A31D9" w:rsidP="005610C0">
            <w:pPr>
              <w:rPr>
                <w:lang w:val="en-GB"/>
              </w:rPr>
            </w:pPr>
            <w:r>
              <w:rPr>
                <w:lang w:val="en-GB"/>
              </w:rPr>
              <w:t>Content</w:t>
            </w:r>
          </w:p>
          <w:p w14:paraId="22933F11" w14:textId="77777777" w:rsidR="005610C0" w:rsidRPr="008A31D9" w:rsidRDefault="005610C0" w:rsidP="005610C0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cs="Times"/>
                <w:i/>
                <w:iCs/>
                <w:color w:val="000000"/>
                <w:lang w:val="en-GB"/>
              </w:rPr>
            </w:pPr>
            <w:r w:rsidRPr="008A31D9">
              <w:rPr>
                <w:rFonts w:cs="Times"/>
                <w:color w:val="000000"/>
                <w:lang w:val="en-GB"/>
              </w:rPr>
              <w:t xml:space="preserve">Biological study methodology: </w:t>
            </w:r>
            <w:r w:rsidRPr="008A31D9">
              <w:rPr>
                <w:rFonts w:cs="Times"/>
                <w:i/>
                <w:iCs/>
                <w:color w:val="000000"/>
                <w:lang w:val="en-GB"/>
              </w:rPr>
              <w:t xml:space="preserve">1 Data acquisition ; 2 Sampling methods ; 4 Fishing techniques </w:t>
            </w:r>
          </w:p>
          <w:p w14:paraId="05E73B4F" w14:textId="77777777" w:rsidR="005610C0" w:rsidRPr="008A31D9" w:rsidRDefault="005610C0" w:rsidP="005610C0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cs="Times"/>
                <w:color w:val="000000"/>
                <w:lang w:val="en-GB"/>
              </w:rPr>
            </w:pPr>
            <w:r w:rsidRPr="008A31D9">
              <w:rPr>
                <w:rFonts w:cs="Times"/>
                <w:color w:val="000000"/>
                <w:lang w:val="en-GB"/>
              </w:rPr>
              <w:t xml:space="preserve">Population studies: </w:t>
            </w:r>
            <w:r w:rsidRPr="008A31D9">
              <w:rPr>
                <w:rFonts w:cs="Times"/>
                <w:i/>
                <w:iCs/>
                <w:color w:val="000000"/>
                <w:lang w:val="en-GB"/>
              </w:rPr>
              <w:t>1 Population characteristics ; 2 Abundance assessment (Successive survey ; Mark-recapture methods) ; 3 Ecology modelling (Population growth, survival;  Age-structured populations; Individual growth models)</w:t>
            </w:r>
          </w:p>
          <w:p w14:paraId="12DAE7CB" w14:textId="77777777" w:rsidR="005610C0" w:rsidRPr="008A31D9" w:rsidRDefault="005610C0" w:rsidP="005610C0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cs="Arial"/>
                <w:b/>
                <w:lang w:val="en-GB"/>
              </w:rPr>
            </w:pPr>
            <w:r w:rsidRPr="008A31D9">
              <w:rPr>
                <w:rFonts w:cs="Arial"/>
                <w:lang w:val="en-GB"/>
              </w:rPr>
              <w:t xml:space="preserve">Community studies: </w:t>
            </w:r>
            <w:r w:rsidRPr="008A31D9">
              <w:rPr>
                <w:rFonts w:cs="Arial"/>
                <w:i/>
                <w:lang w:val="en-GB"/>
              </w:rPr>
              <w:t>1</w:t>
            </w:r>
            <w:r w:rsidRPr="008A31D9">
              <w:rPr>
                <w:rFonts w:cs="Arial"/>
                <w:b/>
                <w:i/>
                <w:lang w:val="en-GB"/>
              </w:rPr>
              <w:t xml:space="preserve"> </w:t>
            </w:r>
            <w:r w:rsidRPr="008A31D9">
              <w:rPr>
                <w:rFonts w:cs="Arial"/>
                <w:i/>
                <w:lang w:val="en-GB"/>
              </w:rPr>
              <w:t>Community indices ; 2 Rank models ; 3 Multivariate analysis</w:t>
            </w:r>
            <w:r w:rsidRPr="008A31D9">
              <w:rPr>
                <w:rFonts w:cs="Arial"/>
                <w:b/>
                <w:lang w:val="en-GB"/>
              </w:rPr>
              <w:t xml:space="preserve"> </w:t>
            </w:r>
          </w:p>
          <w:p w14:paraId="72FB2305" w14:textId="77777777" w:rsidR="005610C0" w:rsidRPr="008A31D9" w:rsidRDefault="005610C0" w:rsidP="005610C0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cs="Times"/>
                <w:i/>
                <w:iCs/>
                <w:color w:val="000000"/>
                <w:lang w:val="en-GB"/>
              </w:rPr>
            </w:pPr>
            <w:r w:rsidRPr="008A31D9">
              <w:rPr>
                <w:rFonts w:cs="Arial"/>
                <w:lang w:val="en-GB"/>
              </w:rPr>
              <w:t>Ecological quality assessment</w:t>
            </w:r>
            <w:r w:rsidRPr="008A31D9">
              <w:rPr>
                <w:rFonts w:cs="Arial"/>
                <w:b/>
                <w:lang w:val="en-GB"/>
              </w:rPr>
              <w:t xml:space="preserve">: </w:t>
            </w:r>
            <w:r w:rsidRPr="008A31D9">
              <w:rPr>
                <w:rFonts w:cs="Arial"/>
                <w:i/>
                <w:lang w:val="en-GB"/>
              </w:rPr>
              <w:t>Biological indices – Multimetric Invertebrate Index</w:t>
            </w:r>
          </w:p>
          <w:p w14:paraId="277B7393" w14:textId="77777777" w:rsidR="005610C0" w:rsidRPr="008A31D9" w:rsidRDefault="005610C0" w:rsidP="005610C0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cs="Times"/>
                <w:color w:val="000000"/>
                <w:lang w:val="en-GB"/>
              </w:rPr>
            </w:pPr>
            <w:r w:rsidRPr="008A31D9">
              <w:rPr>
                <w:rFonts w:cs="Times"/>
                <w:color w:val="000000"/>
                <w:lang w:val="en-GB"/>
              </w:rPr>
              <w:t xml:space="preserve">Managements: </w:t>
            </w:r>
            <w:r w:rsidRPr="008A31D9">
              <w:rPr>
                <w:rFonts w:cs="Times"/>
                <w:i/>
                <w:iCs/>
                <w:color w:val="000000"/>
                <w:lang w:val="en-GB"/>
              </w:rPr>
              <w:t>1 Human pressure and threats on the ecosystems ; 2 Managements objectives ;  3 Habitat preservation / Habitat enhancement : 4 Resource management (Sustainable fisheries ; Aquaculture ; Restocking;) 5 Legislative context</w:t>
            </w:r>
          </w:p>
          <w:p w14:paraId="460D9283" w14:textId="48BF4718" w:rsidR="005610C0" w:rsidRPr="008A31D9" w:rsidRDefault="005610C0" w:rsidP="005610C0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cs="Times"/>
                <w:i/>
                <w:iCs/>
                <w:color w:val="000000"/>
                <w:lang w:val="en-GB"/>
              </w:rPr>
            </w:pPr>
            <w:r w:rsidRPr="008A31D9">
              <w:rPr>
                <w:rFonts w:cs="Times"/>
                <w:color w:val="000000"/>
                <w:lang w:val="en-GB"/>
              </w:rPr>
              <w:t xml:space="preserve">Global environmental indicators: </w:t>
            </w:r>
            <w:r w:rsidRPr="008A31D9">
              <w:rPr>
                <w:rFonts w:cs="Times"/>
                <w:i/>
                <w:iCs/>
                <w:color w:val="000000"/>
                <w:lang w:val="en-GB"/>
              </w:rPr>
              <w:t xml:space="preserve">1 Climate change; 2 Greenhouse effect and carbon footprint ; 3 Ecological footprint; 4 The concept of virtual water </w:t>
            </w:r>
          </w:p>
          <w:p w14:paraId="11BA89B4" w14:textId="77777777" w:rsidR="005610C0" w:rsidRDefault="005610C0" w:rsidP="005610C0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GB"/>
              </w:rPr>
            </w:pPr>
          </w:p>
          <w:p w14:paraId="54DC4D6D" w14:textId="3C417743" w:rsidR="005610C0" w:rsidRDefault="005610C0" w:rsidP="005610C0">
            <w:pPr>
              <w:rPr>
                <w:rFonts w:cs="Times"/>
                <w:color w:val="000000"/>
                <w:lang w:val="en-GB"/>
              </w:rPr>
            </w:pPr>
            <w:r w:rsidRPr="001E472B">
              <w:rPr>
                <w:rFonts w:cs="Times"/>
                <w:color w:val="000000"/>
                <w:lang w:val="en-GB"/>
              </w:rPr>
              <w:t xml:space="preserve">Tutorial sessions are performed in computer labs using R </w:t>
            </w:r>
            <w:r>
              <w:rPr>
                <w:rFonts w:cs="Times"/>
                <w:color w:val="000000"/>
                <w:lang w:val="en-GB"/>
              </w:rPr>
              <w:t xml:space="preserve">package </w:t>
            </w:r>
            <w:r w:rsidRPr="001E472B">
              <w:rPr>
                <w:rFonts w:cs="Times"/>
                <w:color w:val="000000"/>
                <w:lang w:val="en-GB"/>
              </w:rPr>
              <w:t xml:space="preserve">and PRIMER </w:t>
            </w:r>
            <w:r>
              <w:rPr>
                <w:rFonts w:cs="Times"/>
                <w:color w:val="000000"/>
                <w:lang w:val="en-GB"/>
              </w:rPr>
              <w:t>software</w:t>
            </w:r>
            <w:r w:rsidRPr="001E472B">
              <w:rPr>
                <w:rFonts w:cs="Times"/>
                <w:color w:val="000000"/>
                <w:lang w:val="en-GB"/>
              </w:rPr>
              <w:t>.</w:t>
            </w:r>
          </w:p>
          <w:p w14:paraId="2E62C65A" w14:textId="77777777" w:rsidR="00221413" w:rsidRDefault="00221413" w:rsidP="005610C0">
            <w:pPr>
              <w:rPr>
                <w:rFonts w:cs="Times"/>
                <w:color w:val="000000"/>
                <w:lang w:val="en-GB"/>
              </w:rPr>
            </w:pPr>
          </w:p>
          <w:p w14:paraId="6AB9D567" w14:textId="77777777" w:rsidR="00221413" w:rsidRPr="000966E6" w:rsidRDefault="00221413" w:rsidP="00221413">
            <w:pPr>
              <w:widowControl w:val="0"/>
              <w:autoSpaceDE w:val="0"/>
              <w:autoSpaceDN w:val="0"/>
              <w:adjustRightInd w:val="0"/>
              <w:rPr>
                <w:rFonts w:cs="Times"/>
                <w:color w:val="000000"/>
                <w:lang w:val="en-GB"/>
              </w:rPr>
            </w:pPr>
            <w:r w:rsidRPr="000966E6">
              <w:rPr>
                <w:rFonts w:cs="Times"/>
                <w:color w:val="000000"/>
                <w:lang w:val="en-GB"/>
              </w:rPr>
              <w:t>Learning outcome</w:t>
            </w:r>
          </w:p>
          <w:p w14:paraId="763CB139" w14:textId="77777777" w:rsidR="00221413" w:rsidRPr="001E472B" w:rsidRDefault="00221413" w:rsidP="00221413">
            <w:pPr>
              <w:widowControl w:val="0"/>
              <w:autoSpaceDE w:val="0"/>
              <w:autoSpaceDN w:val="0"/>
              <w:adjustRightInd w:val="0"/>
              <w:rPr>
                <w:rFonts w:cs="Times"/>
                <w:color w:val="000000"/>
                <w:lang w:val="en-GB"/>
              </w:rPr>
            </w:pPr>
            <w:r w:rsidRPr="001E472B">
              <w:rPr>
                <w:rFonts w:cs="Times"/>
                <w:color w:val="000000"/>
                <w:lang w:val="en-GB"/>
              </w:rPr>
              <w:t>Students completing this course get knowledge on:</w:t>
            </w:r>
          </w:p>
          <w:p w14:paraId="1167CBA0" w14:textId="77777777" w:rsidR="00221413" w:rsidRDefault="00221413" w:rsidP="00221413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  <w:r w:rsidRPr="001E472B">
              <w:rPr>
                <w:lang w:val="en-GB"/>
              </w:rPr>
              <w:t xml:space="preserve">• statistical analysis and modelling of biological systems </w:t>
            </w:r>
          </w:p>
          <w:p w14:paraId="55FB6C9A" w14:textId="77777777" w:rsidR="00221413" w:rsidRPr="001E472B" w:rsidRDefault="00221413" w:rsidP="00221413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  <w:r w:rsidRPr="001E472B">
              <w:rPr>
                <w:lang w:val="en-GB"/>
              </w:rPr>
              <w:t>• ecological quality assessment with biological indicators and global indicators</w:t>
            </w:r>
          </w:p>
          <w:p w14:paraId="2982219E" w14:textId="77777777" w:rsidR="00221413" w:rsidRPr="001E472B" w:rsidRDefault="00221413" w:rsidP="00221413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  <w:r w:rsidRPr="001E472B">
              <w:rPr>
                <w:lang w:val="en-GB"/>
              </w:rPr>
              <w:t>• implementation of management tools (SAGE, river contract)</w:t>
            </w:r>
          </w:p>
          <w:p w14:paraId="005083CB" w14:textId="77777777" w:rsidR="00221413" w:rsidRPr="001E472B" w:rsidRDefault="00221413" w:rsidP="00221413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  <w:r w:rsidRPr="001E472B">
              <w:rPr>
                <w:lang w:val="en-GB"/>
              </w:rPr>
              <w:t>• environmental regulations (DCE, SDAGE, impact assessment, Natura 2000)</w:t>
            </w:r>
          </w:p>
          <w:p w14:paraId="2BDCAA9C" w14:textId="77777777" w:rsidR="00221413" w:rsidRPr="001E472B" w:rsidRDefault="00221413" w:rsidP="00221413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color w:val="000000"/>
                <w:lang w:val="en-GB"/>
              </w:rPr>
            </w:pPr>
          </w:p>
          <w:p w14:paraId="4B89EE6D" w14:textId="77777777" w:rsidR="00221413" w:rsidRPr="001E472B" w:rsidRDefault="00221413" w:rsidP="00221413">
            <w:pPr>
              <w:widowControl w:val="0"/>
              <w:autoSpaceDE w:val="0"/>
              <w:autoSpaceDN w:val="0"/>
              <w:adjustRightInd w:val="0"/>
              <w:rPr>
                <w:rFonts w:cs="Times"/>
                <w:color w:val="000000"/>
                <w:lang w:val="en-GB"/>
              </w:rPr>
            </w:pPr>
            <w:r w:rsidRPr="001E472B">
              <w:rPr>
                <w:rFonts w:cs="Times"/>
                <w:color w:val="000000"/>
                <w:lang w:val="en-GB"/>
              </w:rPr>
              <w:t>They will be able to:</w:t>
            </w:r>
          </w:p>
          <w:p w14:paraId="058CA5F7" w14:textId="77777777" w:rsidR="00221413" w:rsidRPr="001E472B" w:rsidRDefault="00221413" w:rsidP="00221413">
            <w:pPr>
              <w:rPr>
                <w:lang w:val="en-GB"/>
              </w:rPr>
            </w:pPr>
            <w:r w:rsidRPr="001E472B">
              <w:rPr>
                <w:lang w:val="en-GB"/>
              </w:rPr>
              <w:t>• carry out environmental impact studies</w:t>
            </w:r>
          </w:p>
          <w:p w14:paraId="7FC7AA73" w14:textId="77777777" w:rsidR="00221413" w:rsidRPr="001E472B" w:rsidRDefault="00221413" w:rsidP="00221413">
            <w:pPr>
              <w:rPr>
                <w:lang w:val="en-GB"/>
              </w:rPr>
            </w:pPr>
            <w:r w:rsidRPr="001E472B">
              <w:rPr>
                <w:lang w:val="en-GB"/>
              </w:rPr>
              <w:t>• estimate the abundance of the biological resource in the natural environment</w:t>
            </w:r>
          </w:p>
          <w:p w14:paraId="29E3070C" w14:textId="77777777" w:rsidR="00221413" w:rsidRPr="001E472B" w:rsidRDefault="00221413" w:rsidP="00221413">
            <w:pPr>
              <w:rPr>
                <w:lang w:val="en-GB"/>
              </w:rPr>
            </w:pPr>
            <w:r w:rsidRPr="001E472B">
              <w:rPr>
                <w:lang w:val="en-GB"/>
              </w:rPr>
              <w:t>• make a diagnosis of the biological state of aquatic environments (continental, estuarine and coastal waters)</w:t>
            </w:r>
          </w:p>
          <w:p w14:paraId="1E602D62" w14:textId="531D52B8" w:rsidR="00221413" w:rsidRPr="00221413" w:rsidRDefault="00221413" w:rsidP="005610C0">
            <w:pPr>
              <w:rPr>
                <w:rFonts w:cs="Arial"/>
                <w:lang w:val="en-GB"/>
              </w:rPr>
            </w:pPr>
            <w:r w:rsidRPr="001E472B">
              <w:rPr>
                <w:lang w:val="en-GB"/>
              </w:rPr>
              <w:t>• know the requirements of the European Framework Directive on Water and to control the methods of monitoring and management of aquatic environments</w:t>
            </w:r>
          </w:p>
          <w:p w14:paraId="00778250" w14:textId="77777777" w:rsidR="00B42040" w:rsidRPr="00B42040" w:rsidRDefault="00B42040" w:rsidP="000A68E2">
            <w:pPr>
              <w:rPr>
                <w:lang w:val="en-US"/>
              </w:rPr>
            </w:pPr>
          </w:p>
        </w:tc>
      </w:tr>
      <w:tr w:rsidR="00B42040" w:rsidRPr="00FF1533" w14:paraId="1728F9DA" w14:textId="77777777" w:rsidTr="00725AE8">
        <w:tc>
          <w:tcPr>
            <w:tcW w:w="1235" w:type="dxa"/>
          </w:tcPr>
          <w:p w14:paraId="358C9059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6C8A77F6" w14:textId="68E79232" w:rsidR="00B42040" w:rsidRPr="005610C0" w:rsidRDefault="005610C0" w:rsidP="005610C0">
            <w:pPr>
              <w:widowControl w:val="0"/>
              <w:autoSpaceDE w:val="0"/>
              <w:autoSpaceDN w:val="0"/>
              <w:adjustRightInd w:val="0"/>
              <w:rPr>
                <w:rFonts w:cs="Times"/>
                <w:color w:val="000000"/>
                <w:lang w:val="en-GB"/>
              </w:rPr>
            </w:pPr>
            <w:r w:rsidRPr="001E472B">
              <w:rPr>
                <w:rFonts w:cs="Times"/>
                <w:color w:val="000000"/>
                <w:lang w:val="en-GB"/>
              </w:rPr>
              <w:t xml:space="preserve">Population dynamics; Stock assessment; Community studies - Diversity ; Habitat management; Water framework directive; Biological indicators </w:t>
            </w:r>
          </w:p>
        </w:tc>
      </w:tr>
      <w:tr w:rsidR="00B42040" w:rsidRPr="004805D3" w14:paraId="2390BD36" w14:textId="77777777" w:rsidTr="00725AE8">
        <w:tc>
          <w:tcPr>
            <w:tcW w:w="1235" w:type="dxa"/>
          </w:tcPr>
          <w:p w14:paraId="1A05DFD0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6E67EA34" w14:textId="558F9872" w:rsidR="00B42040" w:rsidRPr="007279A9" w:rsidRDefault="00221413" w:rsidP="00601297">
            <w:pPr>
              <w:widowControl w:val="0"/>
              <w:autoSpaceDE w:val="0"/>
              <w:autoSpaceDN w:val="0"/>
              <w:adjustRightInd w:val="0"/>
              <w:rPr>
                <w:sz w:val="21"/>
                <w:lang w:val="en-GB"/>
              </w:rPr>
            </w:pPr>
            <w:r w:rsidRPr="001E472B">
              <w:rPr>
                <w:sz w:val="21"/>
                <w:lang w:val="en-GB"/>
              </w:rPr>
              <w:t>The final grade is composed of a literature search project (25%), a practical work project (25%) and a final exam (50%).</w:t>
            </w:r>
          </w:p>
        </w:tc>
      </w:tr>
    </w:tbl>
    <w:p w14:paraId="02B77EE3" w14:textId="77777777" w:rsidR="00B42040" w:rsidRPr="004805D3" w:rsidRDefault="00B42040">
      <w:pPr>
        <w:rPr>
          <w:lang w:val="en-US"/>
        </w:rPr>
      </w:pPr>
    </w:p>
    <w:sectPr w:rsidR="00B42040" w:rsidRPr="00480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0966E6"/>
    <w:rsid w:val="000A68E2"/>
    <w:rsid w:val="00221413"/>
    <w:rsid w:val="00290C7D"/>
    <w:rsid w:val="003A49B7"/>
    <w:rsid w:val="00470DEC"/>
    <w:rsid w:val="004805D3"/>
    <w:rsid w:val="005610C0"/>
    <w:rsid w:val="00577E3F"/>
    <w:rsid w:val="00601297"/>
    <w:rsid w:val="00725AE8"/>
    <w:rsid w:val="007279A9"/>
    <w:rsid w:val="008A31D9"/>
    <w:rsid w:val="00904795"/>
    <w:rsid w:val="00965077"/>
    <w:rsid w:val="009E71ED"/>
    <w:rsid w:val="00A778E5"/>
    <w:rsid w:val="00B42040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58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8</cp:revision>
  <dcterms:created xsi:type="dcterms:W3CDTF">2019-06-16T15:04:00Z</dcterms:created>
  <dcterms:modified xsi:type="dcterms:W3CDTF">2021-12-01T17:12:00Z</dcterms:modified>
</cp:coreProperties>
</file>