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6FB52" w14:textId="77777777" w:rsidR="00577E3F" w:rsidRDefault="00577E3F"/>
    <w:tbl>
      <w:tblPr>
        <w:tblStyle w:val="Grilledutableau"/>
        <w:tblW w:w="0" w:type="auto"/>
        <w:tblLook w:val="04A0" w:firstRow="1" w:lastRow="0" w:firstColumn="1" w:lastColumn="0" w:noHBand="0" w:noVBand="1"/>
      </w:tblPr>
      <w:tblGrid>
        <w:gridCol w:w="1235"/>
        <w:gridCol w:w="672"/>
        <w:gridCol w:w="1136"/>
        <w:gridCol w:w="408"/>
        <w:gridCol w:w="1386"/>
        <w:gridCol w:w="410"/>
        <w:gridCol w:w="1508"/>
        <w:gridCol w:w="583"/>
        <w:gridCol w:w="1384"/>
        <w:gridCol w:w="566"/>
      </w:tblGrid>
      <w:tr w:rsidR="00B42040" w14:paraId="5ADFA667" w14:textId="77777777" w:rsidTr="00725AE8">
        <w:tc>
          <w:tcPr>
            <w:tcW w:w="1235" w:type="dxa"/>
          </w:tcPr>
          <w:p w14:paraId="54544ECE" w14:textId="77777777" w:rsidR="00B42040" w:rsidRPr="00B42040" w:rsidRDefault="00B42040">
            <w:pPr>
              <w:rPr>
                <w:lang w:val="en-US"/>
              </w:rPr>
            </w:pPr>
            <w:r w:rsidRPr="00B42040">
              <w:rPr>
                <w:lang w:val="en-US"/>
              </w:rPr>
              <w:t>N° ECUE</w:t>
            </w:r>
          </w:p>
        </w:tc>
        <w:tc>
          <w:tcPr>
            <w:tcW w:w="8053" w:type="dxa"/>
            <w:gridSpan w:val="9"/>
          </w:tcPr>
          <w:p w14:paraId="416022C2" w14:textId="481A2D13" w:rsidR="00B42040" w:rsidRPr="00143FCD" w:rsidRDefault="00ED0B21" w:rsidP="00D10C51">
            <w:pPr>
              <w:rPr>
                <w:rFonts w:ascii="Arial" w:hAnsi="Arial" w:cs="Arial"/>
                <w:color w:val="212529"/>
                <w:sz w:val="24"/>
                <w:szCs w:val="24"/>
              </w:rPr>
            </w:pPr>
            <w:r w:rsidRPr="00143FCD">
              <w:rPr>
                <w:rFonts w:ascii="Arial" w:hAnsi="Arial" w:cs="Arial"/>
                <w:color w:val="212529"/>
                <w:sz w:val="24"/>
                <w:szCs w:val="24"/>
              </w:rPr>
              <w:t>X</w:t>
            </w:r>
            <w:r w:rsidR="005C11D4">
              <w:rPr>
                <w:rFonts w:ascii="Arial" w:hAnsi="Arial" w:cs="Arial"/>
                <w:color w:val="212529"/>
                <w:sz w:val="24"/>
                <w:szCs w:val="24"/>
              </w:rPr>
              <w:t>A</w:t>
            </w:r>
            <w:r w:rsidRPr="00143FCD">
              <w:rPr>
                <w:rFonts w:ascii="Arial" w:hAnsi="Arial" w:cs="Arial"/>
                <w:color w:val="212529"/>
                <w:sz w:val="24"/>
                <w:szCs w:val="24"/>
              </w:rPr>
              <w:t>4S</w:t>
            </w:r>
            <w:r w:rsidR="00D10C51" w:rsidRPr="00143FCD">
              <w:rPr>
                <w:rFonts w:ascii="Arial" w:hAnsi="Arial" w:cs="Arial"/>
                <w:color w:val="212529"/>
                <w:sz w:val="24"/>
                <w:szCs w:val="24"/>
              </w:rPr>
              <w:t>521</w:t>
            </w:r>
          </w:p>
          <w:p w14:paraId="202231DD" w14:textId="77777777" w:rsidR="00D10C51" w:rsidRDefault="00D10C51" w:rsidP="00D10C51"/>
        </w:tc>
      </w:tr>
      <w:tr w:rsidR="00B42040" w14:paraId="1FB4A218" w14:textId="77777777" w:rsidTr="00725AE8">
        <w:tc>
          <w:tcPr>
            <w:tcW w:w="1235" w:type="dxa"/>
          </w:tcPr>
          <w:p w14:paraId="50FFA352" w14:textId="77777777" w:rsidR="00B42040" w:rsidRPr="00B42040" w:rsidRDefault="00B42040">
            <w:pPr>
              <w:rPr>
                <w:lang w:val="en-US"/>
              </w:rPr>
            </w:pPr>
            <w:r w:rsidRPr="00B42040">
              <w:rPr>
                <w:lang w:val="en-US"/>
              </w:rPr>
              <w:t>Title</w:t>
            </w:r>
          </w:p>
        </w:tc>
        <w:tc>
          <w:tcPr>
            <w:tcW w:w="8053" w:type="dxa"/>
            <w:gridSpan w:val="9"/>
          </w:tcPr>
          <w:p w14:paraId="7A295BD3" w14:textId="77777777" w:rsidR="00B42040" w:rsidRDefault="00D10C51">
            <w:r>
              <w:t>Communication</w:t>
            </w:r>
          </w:p>
        </w:tc>
      </w:tr>
      <w:tr w:rsidR="00725AE8" w14:paraId="33DC9C92" w14:textId="77777777" w:rsidTr="00725AE8">
        <w:tc>
          <w:tcPr>
            <w:tcW w:w="1235" w:type="dxa"/>
          </w:tcPr>
          <w:p w14:paraId="6FBB30AF" w14:textId="77777777" w:rsidR="00725AE8" w:rsidRPr="00B42040" w:rsidRDefault="00725AE8">
            <w:pPr>
              <w:rPr>
                <w:lang w:val="en-US"/>
              </w:rPr>
            </w:pPr>
            <w:r>
              <w:rPr>
                <w:lang w:val="en-US"/>
              </w:rPr>
              <w:t>ECTS</w:t>
            </w:r>
          </w:p>
        </w:tc>
        <w:tc>
          <w:tcPr>
            <w:tcW w:w="672" w:type="dxa"/>
          </w:tcPr>
          <w:p w14:paraId="7B478BBA" w14:textId="77777777" w:rsidR="00725AE8" w:rsidRDefault="00725AE8"/>
        </w:tc>
        <w:tc>
          <w:tcPr>
            <w:tcW w:w="1136" w:type="dxa"/>
          </w:tcPr>
          <w:p w14:paraId="02C85CFA" w14:textId="77777777" w:rsidR="00725AE8" w:rsidRDefault="00725AE8" w:rsidP="00725AE8">
            <w:r>
              <w:t>Lecture(h)</w:t>
            </w:r>
          </w:p>
          <w:p w14:paraId="5BA3A6C7" w14:textId="77777777" w:rsidR="00725AE8" w:rsidRDefault="00725AE8" w:rsidP="00725AE8">
            <w:r>
              <w:t>CM</w:t>
            </w:r>
          </w:p>
        </w:tc>
        <w:tc>
          <w:tcPr>
            <w:tcW w:w="408" w:type="dxa"/>
          </w:tcPr>
          <w:p w14:paraId="304216D5" w14:textId="77777777" w:rsidR="00725AE8" w:rsidRDefault="00725AE8"/>
        </w:tc>
        <w:tc>
          <w:tcPr>
            <w:tcW w:w="1386" w:type="dxa"/>
          </w:tcPr>
          <w:p w14:paraId="7272C17E" w14:textId="77777777" w:rsidR="00725AE8" w:rsidRDefault="00725AE8">
            <w:proofErr w:type="spellStart"/>
            <w:r>
              <w:t>Tutorials</w:t>
            </w:r>
            <w:proofErr w:type="spellEnd"/>
            <w:r>
              <w:t xml:space="preserve"> (h)</w:t>
            </w:r>
          </w:p>
          <w:p w14:paraId="3775EFFE" w14:textId="77777777" w:rsidR="00725AE8" w:rsidRDefault="00725AE8">
            <w:r>
              <w:t>TD</w:t>
            </w:r>
            <w:r w:rsidR="00ED0B21">
              <w:t xml:space="preserve"> 22.5</w:t>
            </w:r>
          </w:p>
        </w:tc>
        <w:tc>
          <w:tcPr>
            <w:tcW w:w="410" w:type="dxa"/>
          </w:tcPr>
          <w:p w14:paraId="4284A86F" w14:textId="77777777" w:rsidR="00725AE8" w:rsidRDefault="00725AE8"/>
        </w:tc>
        <w:tc>
          <w:tcPr>
            <w:tcW w:w="1508" w:type="dxa"/>
          </w:tcPr>
          <w:p w14:paraId="763E76E6" w14:textId="77777777" w:rsidR="00725AE8" w:rsidRDefault="00725AE8">
            <w:proofErr w:type="spellStart"/>
            <w:r>
              <w:t>Pratical</w:t>
            </w:r>
            <w:proofErr w:type="spellEnd"/>
            <w:r>
              <w:t xml:space="preserve"> </w:t>
            </w:r>
            <w:proofErr w:type="spellStart"/>
            <w:r>
              <w:t>works</w:t>
            </w:r>
            <w:proofErr w:type="spellEnd"/>
            <w:r>
              <w:t xml:space="preserve"> (h) TP</w:t>
            </w:r>
          </w:p>
        </w:tc>
        <w:tc>
          <w:tcPr>
            <w:tcW w:w="583" w:type="dxa"/>
          </w:tcPr>
          <w:p w14:paraId="556447D2" w14:textId="77777777" w:rsidR="00725AE8" w:rsidRDefault="00725AE8"/>
        </w:tc>
        <w:tc>
          <w:tcPr>
            <w:tcW w:w="1384" w:type="dxa"/>
          </w:tcPr>
          <w:p w14:paraId="03241D48" w14:textId="77777777" w:rsidR="00725AE8" w:rsidRDefault="00725AE8">
            <w:r>
              <w:t>Project (h)</w:t>
            </w:r>
          </w:p>
        </w:tc>
        <w:tc>
          <w:tcPr>
            <w:tcW w:w="566" w:type="dxa"/>
          </w:tcPr>
          <w:p w14:paraId="1B840C67" w14:textId="77777777" w:rsidR="00725AE8" w:rsidRDefault="00725AE8"/>
        </w:tc>
      </w:tr>
      <w:tr w:rsidR="00B42040" w:rsidRPr="005C11D4" w14:paraId="273F2FB3" w14:textId="77777777" w:rsidTr="00725AE8">
        <w:trPr>
          <w:trHeight w:val="547"/>
        </w:trPr>
        <w:tc>
          <w:tcPr>
            <w:tcW w:w="9288" w:type="dxa"/>
            <w:gridSpan w:val="10"/>
          </w:tcPr>
          <w:p w14:paraId="316F4CA8"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
                <w:bCs/>
                <w:sz w:val="21"/>
                <w:szCs w:val="21"/>
                <w:lang w:val="en-US" w:eastAsia="en-US"/>
              </w:rPr>
              <w:t>Context</w:t>
            </w:r>
            <w:r w:rsidRPr="0087457B">
              <w:rPr>
                <w:rFonts w:asciiTheme="minorHAnsi" w:eastAsiaTheme="minorHAnsi" w:hAnsiTheme="minorHAnsi" w:cstheme="minorBidi"/>
                <w:bCs/>
                <w:sz w:val="21"/>
                <w:szCs w:val="21"/>
                <w:lang w:val="en-US" w:eastAsia="en-US"/>
              </w:rPr>
              <w:t xml:space="preserve"> :</w:t>
            </w:r>
          </w:p>
          <w:p w14:paraId="15DC84AD"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xml:space="preserve">Whether in meetings, job interviews, business meals, cafeterias or on the phone... an engineer spends a large part of his working time in situations of oral and written communication (emails, letters, reports, </w:t>
            </w:r>
            <w:proofErr w:type="spellStart"/>
            <w:r w:rsidRPr="0087457B">
              <w:rPr>
                <w:rFonts w:asciiTheme="minorHAnsi" w:eastAsiaTheme="minorHAnsi" w:hAnsiTheme="minorHAnsi" w:cstheme="minorBidi"/>
                <w:bCs/>
                <w:sz w:val="21"/>
                <w:szCs w:val="21"/>
                <w:lang w:val="en-US" w:eastAsia="en-US"/>
              </w:rPr>
              <w:t>powerpoint</w:t>
            </w:r>
            <w:proofErr w:type="spellEnd"/>
            <w:r w:rsidRPr="0087457B">
              <w:rPr>
                <w:rFonts w:asciiTheme="minorHAnsi" w:eastAsiaTheme="minorHAnsi" w:hAnsiTheme="minorHAnsi" w:cstheme="minorBidi"/>
                <w:bCs/>
                <w:sz w:val="21"/>
                <w:szCs w:val="21"/>
                <w:lang w:val="en-US" w:eastAsia="en-US"/>
              </w:rPr>
              <w:t xml:space="preserve"> presentations...). As engineers very quickly become supervisors or managers, or even negotiators, it is essential that they master the rules of an impeccable language, adapted to any management situation, in order to be effective in team management, in motivation management, in the transmission of key information. 80% of communication being non-verbal, it is essential that they know how to decipher any communication situation through non-verbal communication, in order to adapt their </w:t>
            </w:r>
            <w:proofErr w:type="spellStart"/>
            <w:r w:rsidRPr="0087457B">
              <w:rPr>
                <w:rFonts w:asciiTheme="minorHAnsi" w:eastAsiaTheme="minorHAnsi" w:hAnsiTheme="minorHAnsi" w:cstheme="minorBidi"/>
                <w:bCs/>
                <w:sz w:val="21"/>
                <w:szCs w:val="21"/>
                <w:lang w:val="en-US" w:eastAsia="en-US"/>
              </w:rPr>
              <w:t>behaviour</w:t>
            </w:r>
            <w:proofErr w:type="spellEnd"/>
            <w:r w:rsidRPr="0087457B">
              <w:rPr>
                <w:rFonts w:asciiTheme="minorHAnsi" w:eastAsiaTheme="minorHAnsi" w:hAnsiTheme="minorHAnsi" w:cstheme="minorBidi"/>
                <w:bCs/>
                <w:sz w:val="21"/>
                <w:szCs w:val="21"/>
                <w:lang w:val="en-US" w:eastAsia="en-US"/>
              </w:rPr>
              <w:t xml:space="preserve"> and communication to the situation, with a view to responsible management and respect of employees.</w:t>
            </w:r>
          </w:p>
          <w:p w14:paraId="47DAAACD" w14:textId="77777777" w:rsidR="00D10C51" w:rsidRPr="005C11D4"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5C11D4">
              <w:rPr>
                <w:rFonts w:asciiTheme="minorHAnsi" w:eastAsiaTheme="minorHAnsi" w:hAnsiTheme="minorHAnsi" w:cstheme="minorBidi"/>
                <w:b/>
                <w:bCs/>
                <w:sz w:val="21"/>
                <w:szCs w:val="21"/>
                <w:lang w:val="en-US" w:eastAsia="en-US"/>
              </w:rPr>
              <w:t>Cont</w:t>
            </w:r>
            <w:r w:rsidR="00143FCD" w:rsidRPr="005C11D4">
              <w:rPr>
                <w:rFonts w:asciiTheme="minorHAnsi" w:eastAsiaTheme="minorHAnsi" w:hAnsiTheme="minorHAnsi" w:cstheme="minorBidi"/>
                <w:b/>
                <w:bCs/>
                <w:sz w:val="21"/>
                <w:szCs w:val="21"/>
                <w:lang w:val="en-US" w:eastAsia="en-US"/>
              </w:rPr>
              <w:t>e</w:t>
            </w:r>
            <w:r w:rsidRPr="005C11D4">
              <w:rPr>
                <w:rFonts w:asciiTheme="minorHAnsi" w:eastAsiaTheme="minorHAnsi" w:hAnsiTheme="minorHAnsi" w:cstheme="minorBidi"/>
                <w:b/>
                <w:bCs/>
                <w:sz w:val="21"/>
                <w:szCs w:val="21"/>
                <w:lang w:val="en-US" w:eastAsia="en-US"/>
              </w:rPr>
              <w:t>nt</w:t>
            </w:r>
            <w:r w:rsidRPr="005C11D4">
              <w:rPr>
                <w:rFonts w:asciiTheme="minorHAnsi" w:eastAsiaTheme="minorHAnsi" w:hAnsiTheme="minorHAnsi" w:cstheme="minorBidi"/>
                <w:bCs/>
                <w:sz w:val="21"/>
                <w:szCs w:val="21"/>
                <w:lang w:val="en-US" w:eastAsia="en-US"/>
              </w:rPr>
              <w:t xml:space="preserve"> :</w:t>
            </w:r>
          </w:p>
          <w:p w14:paraId="2AD75F07"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Individual and group oral communication situations (various types of simulations of daily and professional life, role-playing, use of the camera, etc.) Through these simulations, the teacher leads the student to be aware of her/his communicative register, her/his strengths and weaknesses, her/his posture, voice, gestures; essential aspects of non-verbal communication. The teacher teaches the student to put her/himself in a situation of trust to avoid stress and blockage of interpersonal communication. The teacher also teaches the rules of non-violent communication, which will enable the student to resolve potential conflicts in complex managerial situations.</w:t>
            </w:r>
          </w:p>
          <w:p w14:paraId="2365603E"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xml:space="preserve">Writing exercises (letters, briefing notes, reports, etc.). The purpose of the written communication course is to highlight synthesis skills in various media and fields that will be found in the professional environment: it is therefore a question of mastering the structure and structuring of an internship report, to know, from texts that are scientific, that are </w:t>
            </w:r>
            <w:proofErr w:type="spellStart"/>
            <w:r w:rsidRPr="0087457B">
              <w:rPr>
                <w:rFonts w:asciiTheme="minorHAnsi" w:eastAsiaTheme="minorHAnsi" w:hAnsiTheme="minorHAnsi" w:cstheme="minorBidi"/>
                <w:bCs/>
                <w:sz w:val="21"/>
                <w:szCs w:val="21"/>
                <w:lang w:val="en-US" w:eastAsia="en-US"/>
              </w:rPr>
              <w:t>parascientific</w:t>
            </w:r>
            <w:proofErr w:type="spellEnd"/>
            <w:r w:rsidRPr="0087457B">
              <w:rPr>
                <w:rFonts w:asciiTheme="minorHAnsi" w:eastAsiaTheme="minorHAnsi" w:hAnsiTheme="minorHAnsi" w:cstheme="minorBidi"/>
                <w:bCs/>
                <w:sz w:val="21"/>
                <w:szCs w:val="21"/>
                <w:lang w:val="en-US" w:eastAsia="en-US"/>
              </w:rPr>
              <w:t>, to release the essential of the accessory.</w:t>
            </w:r>
          </w:p>
          <w:p w14:paraId="0329F60E"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
                <w:bCs/>
                <w:sz w:val="21"/>
                <w:szCs w:val="21"/>
                <w:lang w:val="en-US" w:eastAsia="en-US"/>
              </w:rPr>
              <w:t>Prerequisites</w:t>
            </w:r>
            <w:r w:rsidRPr="0087457B">
              <w:rPr>
                <w:rFonts w:asciiTheme="minorHAnsi" w:eastAsiaTheme="minorHAnsi" w:hAnsiTheme="minorHAnsi" w:cstheme="minorBidi"/>
                <w:bCs/>
                <w:sz w:val="21"/>
                <w:szCs w:val="21"/>
                <w:lang w:val="en-US" w:eastAsia="en-US"/>
              </w:rPr>
              <w:t>: practice of French language.</w:t>
            </w:r>
          </w:p>
          <w:p w14:paraId="7BD12E28"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
                <w:bCs/>
                <w:sz w:val="21"/>
                <w:szCs w:val="21"/>
                <w:lang w:val="en-US" w:eastAsia="en-US"/>
              </w:rPr>
              <w:t>Learning outcomes</w:t>
            </w:r>
            <w:r w:rsidRPr="0087457B">
              <w:rPr>
                <w:rFonts w:asciiTheme="minorHAnsi" w:eastAsiaTheme="minorHAnsi" w:hAnsiTheme="minorHAnsi" w:cstheme="minorBidi"/>
                <w:bCs/>
                <w:sz w:val="21"/>
                <w:szCs w:val="21"/>
                <w:lang w:val="en-US" w:eastAsia="en-US"/>
              </w:rPr>
              <w:t xml:space="preserve"> :</w:t>
            </w:r>
          </w:p>
          <w:p w14:paraId="22E4A1C8"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
                <w:bCs/>
                <w:sz w:val="21"/>
                <w:szCs w:val="21"/>
                <w:lang w:val="en-US" w:eastAsia="en-US"/>
              </w:rPr>
            </w:pPr>
            <w:r w:rsidRPr="0087457B">
              <w:rPr>
                <w:rFonts w:asciiTheme="minorHAnsi" w:eastAsiaTheme="minorHAnsi" w:hAnsiTheme="minorHAnsi" w:cstheme="minorBidi"/>
                <w:b/>
                <w:bCs/>
                <w:sz w:val="21"/>
                <w:szCs w:val="21"/>
                <w:lang w:val="en-US" w:eastAsia="en-US"/>
              </w:rPr>
              <w:t>1- Knowledge :</w:t>
            </w:r>
          </w:p>
          <w:p w14:paraId="381F39C4"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More in-depth knowledge of oneself (self-awareness), one's strengths and weaknesses in oral communication situations;</w:t>
            </w:r>
          </w:p>
          <w:p w14:paraId="20F7F251"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Knowledge of the rules of interpersonal communication, where non-verbal communication is so important.</w:t>
            </w:r>
          </w:p>
          <w:p w14:paraId="6317C64B"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
                <w:bCs/>
                <w:sz w:val="21"/>
                <w:szCs w:val="21"/>
                <w:lang w:val="en-US" w:eastAsia="en-US"/>
              </w:rPr>
            </w:pPr>
            <w:r w:rsidRPr="0087457B">
              <w:rPr>
                <w:rFonts w:asciiTheme="minorHAnsi" w:eastAsiaTheme="minorHAnsi" w:hAnsiTheme="minorHAnsi" w:cstheme="minorBidi"/>
                <w:b/>
                <w:bCs/>
                <w:sz w:val="21"/>
                <w:szCs w:val="21"/>
                <w:lang w:val="en-US" w:eastAsia="en-US"/>
              </w:rPr>
              <w:t>2- Skills :</w:t>
            </w:r>
          </w:p>
          <w:p w14:paraId="221F2648"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Be able to manage stress in interpersonal communication situations N</w:t>
            </w:r>
          </w:p>
          <w:p w14:paraId="200C5560"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xml:space="preserve">- Be able to </w:t>
            </w:r>
            <w:proofErr w:type="spellStart"/>
            <w:r w:rsidRPr="0087457B">
              <w:rPr>
                <w:rFonts w:asciiTheme="minorHAnsi" w:eastAsiaTheme="minorHAnsi" w:hAnsiTheme="minorHAnsi" w:cstheme="minorBidi"/>
                <w:bCs/>
                <w:sz w:val="21"/>
                <w:szCs w:val="21"/>
                <w:lang w:val="en-US" w:eastAsia="en-US"/>
              </w:rPr>
              <w:t>analyse</w:t>
            </w:r>
            <w:proofErr w:type="spellEnd"/>
            <w:r w:rsidRPr="0087457B">
              <w:rPr>
                <w:rFonts w:asciiTheme="minorHAnsi" w:eastAsiaTheme="minorHAnsi" w:hAnsiTheme="minorHAnsi" w:cstheme="minorBidi"/>
                <w:bCs/>
                <w:sz w:val="21"/>
                <w:szCs w:val="21"/>
                <w:lang w:val="en-US" w:eastAsia="en-US"/>
              </w:rPr>
              <w:t xml:space="preserve"> any communication situation from the non-verbal N</w:t>
            </w:r>
          </w:p>
          <w:p w14:paraId="143406B7"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Be able to manage a potentially conflictual situation using non-violent communication N</w:t>
            </w:r>
          </w:p>
          <w:p w14:paraId="2AF24EDB"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Be able to make an oral presentation with arguments and effective, with or without computer support N</w:t>
            </w:r>
          </w:p>
          <w:p w14:paraId="2CC80020"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Be able to write different types of professional materials (including summary documents and reports) N</w:t>
            </w:r>
          </w:p>
          <w:p w14:paraId="0FB999EE"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
                <w:sz w:val="21"/>
                <w:szCs w:val="21"/>
                <w:lang w:val="en-US" w:eastAsia="en-US"/>
              </w:rPr>
            </w:pPr>
            <w:r w:rsidRPr="0087457B">
              <w:rPr>
                <w:rFonts w:asciiTheme="minorHAnsi" w:eastAsiaTheme="minorHAnsi" w:hAnsiTheme="minorHAnsi" w:cstheme="minorBidi"/>
                <w:b/>
                <w:sz w:val="21"/>
                <w:szCs w:val="21"/>
                <w:lang w:val="en-US" w:eastAsia="en-US"/>
              </w:rPr>
              <w:t>3 - Capacities :</w:t>
            </w:r>
          </w:p>
          <w:p w14:paraId="5E52EBD1" w14:textId="77777777" w:rsidR="00D10C51"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write A</w:t>
            </w:r>
          </w:p>
          <w:p w14:paraId="2E2D9F26" w14:textId="77777777" w:rsidR="00B42040" w:rsidRPr="0087457B" w:rsidRDefault="00D10C51" w:rsidP="0087457B">
            <w:pPr>
              <w:pStyle w:val="NormalWeb"/>
              <w:spacing w:before="0" w:beforeAutospacing="0" w:after="0" w:afterAutospacing="0" w:line="280" w:lineRule="exact"/>
              <w:jc w:val="both"/>
              <w:rPr>
                <w:rFonts w:asciiTheme="minorHAnsi" w:eastAsiaTheme="minorHAnsi" w:hAnsiTheme="minorHAnsi" w:cstheme="minorBidi"/>
                <w:bCs/>
                <w:sz w:val="21"/>
                <w:szCs w:val="21"/>
                <w:lang w:val="en-US" w:eastAsia="en-US"/>
              </w:rPr>
            </w:pPr>
            <w:r w:rsidRPr="0087457B">
              <w:rPr>
                <w:rFonts w:asciiTheme="minorHAnsi" w:eastAsiaTheme="minorHAnsi" w:hAnsiTheme="minorHAnsi" w:cstheme="minorBidi"/>
                <w:bCs/>
                <w:sz w:val="21"/>
                <w:szCs w:val="21"/>
                <w:lang w:val="en-US" w:eastAsia="en-US"/>
              </w:rPr>
              <w:t xml:space="preserve">- communicate </w:t>
            </w:r>
            <w:r w:rsidR="0087457B">
              <w:rPr>
                <w:rFonts w:asciiTheme="minorHAnsi" w:eastAsiaTheme="minorHAnsi" w:hAnsiTheme="minorHAnsi" w:cstheme="minorBidi"/>
                <w:bCs/>
                <w:sz w:val="21"/>
                <w:szCs w:val="21"/>
                <w:lang w:val="en-US" w:eastAsia="en-US"/>
              </w:rPr>
              <w:t>A</w:t>
            </w:r>
          </w:p>
        </w:tc>
      </w:tr>
      <w:tr w:rsidR="00B42040" w14:paraId="4BBC4914" w14:textId="77777777" w:rsidTr="00725AE8">
        <w:tc>
          <w:tcPr>
            <w:tcW w:w="1235" w:type="dxa"/>
          </w:tcPr>
          <w:p w14:paraId="3E15B706" w14:textId="77777777" w:rsidR="00B42040" w:rsidRPr="00B42040" w:rsidRDefault="00B42040" w:rsidP="00ED0B21">
            <w:pPr>
              <w:rPr>
                <w:lang w:val="en-US"/>
              </w:rPr>
            </w:pPr>
            <w:r w:rsidRPr="00B42040">
              <w:rPr>
                <w:lang w:val="en-US"/>
              </w:rPr>
              <w:t>Key Words</w:t>
            </w:r>
          </w:p>
        </w:tc>
        <w:tc>
          <w:tcPr>
            <w:tcW w:w="8053" w:type="dxa"/>
            <w:gridSpan w:val="9"/>
          </w:tcPr>
          <w:p w14:paraId="621B4894" w14:textId="77777777" w:rsidR="00B42040" w:rsidRDefault="00D10C51" w:rsidP="00D10C51">
            <w:r>
              <w:t>Self-</w:t>
            </w:r>
            <w:proofErr w:type="spellStart"/>
            <w:r>
              <w:t>awereness</w:t>
            </w:r>
            <w:proofErr w:type="spellEnd"/>
            <w:r>
              <w:t>, non-verbal communication, non-violent communication…</w:t>
            </w:r>
          </w:p>
        </w:tc>
      </w:tr>
      <w:tr w:rsidR="00B42040" w14:paraId="3826C692" w14:textId="77777777" w:rsidTr="00725AE8">
        <w:tc>
          <w:tcPr>
            <w:tcW w:w="1235" w:type="dxa"/>
          </w:tcPr>
          <w:p w14:paraId="114C7303" w14:textId="77777777" w:rsidR="00B42040" w:rsidRPr="00B42040" w:rsidRDefault="00B42040" w:rsidP="00ED0B21">
            <w:pPr>
              <w:rPr>
                <w:lang w:val="en-US"/>
              </w:rPr>
            </w:pPr>
            <w:r w:rsidRPr="00B42040">
              <w:rPr>
                <w:lang w:val="en-US"/>
              </w:rPr>
              <w:t>Type of Evaluation</w:t>
            </w:r>
          </w:p>
        </w:tc>
        <w:tc>
          <w:tcPr>
            <w:tcW w:w="8053" w:type="dxa"/>
            <w:gridSpan w:val="9"/>
          </w:tcPr>
          <w:p w14:paraId="3CE4FF66" w14:textId="77777777" w:rsidR="00B42040" w:rsidRDefault="00D10C51">
            <w:proofErr w:type="spellStart"/>
            <w:r>
              <w:t>Writting</w:t>
            </w:r>
            <w:proofErr w:type="spellEnd"/>
            <w:r>
              <w:t xml:space="preserve"> document</w:t>
            </w:r>
          </w:p>
        </w:tc>
      </w:tr>
    </w:tbl>
    <w:p w14:paraId="429C92B3" w14:textId="77777777" w:rsidR="00B42040" w:rsidRDefault="00B42040"/>
    <w:sectPr w:rsidR="00B420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90404"/>
    <w:multiLevelType w:val="hybridMultilevel"/>
    <w:tmpl w:val="E52679E6"/>
    <w:lvl w:ilvl="0" w:tplc="6A8602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DC50845"/>
    <w:multiLevelType w:val="hybridMultilevel"/>
    <w:tmpl w:val="8CD421A4"/>
    <w:lvl w:ilvl="0" w:tplc="4F7CAEE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040"/>
    <w:rsid w:val="00104C7F"/>
    <w:rsid w:val="00143FCD"/>
    <w:rsid w:val="00577E3F"/>
    <w:rsid w:val="005C11D4"/>
    <w:rsid w:val="00725AE8"/>
    <w:rsid w:val="0087457B"/>
    <w:rsid w:val="0088742B"/>
    <w:rsid w:val="00B42040"/>
    <w:rsid w:val="00D10C51"/>
    <w:rsid w:val="00ED0B21"/>
    <w:rsid w:val="00F149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7D2E6"/>
  <w15:docId w15:val="{42F7B248-89B8-8A4F-B8FB-070ED030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42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149A5"/>
    <w:pPr>
      <w:ind w:left="720"/>
      <w:contextualSpacing/>
    </w:pPr>
  </w:style>
  <w:style w:type="paragraph" w:styleId="NormalWeb">
    <w:name w:val="Normal (Web)"/>
    <w:basedOn w:val="Normal"/>
    <w:uiPriority w:val="99"/>
    <w:unhideWhenUsed/>
    <w:rsid w:val="00D10C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10C51"/>
    <w:rPr>
      <w:b/>
      <w:bCs/>
    </w:rPr>
  </w:style>
  <w:style w:type="character" w:styleId="Lienhypertexte">
    <w:name w:val="Hyperlink"/>
    <w:basedOn w:val="Policepardfaut"/>
    <w:uiPriority w:val="99"/>
    <w:unhideWhenUsed/>
    <w:rsid w:val="00D10C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9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457</Words>
  <Characters>2515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IEM/CNRS/UM2</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Brosillon</dc:creator>
  <cp:lastModifiedBy>Catherine A.</cp:lastModifiedBy>
  <cp:revision>5</cp:revision>
  <dcterms:created xsi:type="dcterms:W3CDTF">2019-11-06T16:45:00Z</dcterms:created>
  <dcterms:modified xsi:type="dcterms:W3CDTF">2021-12-01T17:06:00Z</dcterms:modified>
</cp:coreProperties>
</file>