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80AD" w14:textId="77777777" w:rsidR="00CF3754" w:rsidRPr="00CD739E" w:rsidRDefault="00CF3754" w:rsidP="00CD739E">
      <w:pPr>
        <w:pStyle w:val="NormalWeb"/>
        <w:shd w:val="clear" w:color="auto" w:fill="FFFFFF"/>
        <w:spacing w:before="0" w:beforeAutospacing="0" w:after="0" w:afterAutospacing="0"/>
        <w:jc w:val="center"/>
        <w:textAlignment w:val="baseline"/>
        <w:rPr>
          <w:rStyle w:val="lev"/>
          <w:rFonts w:ascii="Arial" w:hAnsi="Arial" w:cs="Arial"/>
          <w:color w:val="000000"/>
          <w:sz w:val="40"/>
          <w:szCs w:val="40"/>
          <w:u w:val="single"/>
          <w:bdr w:val="none" w:sz="0" w:space="0" w:color="auto" w:frame="1"/>
        </w:rPr>
      </w:pPr>
      <w:r w:rsidRPr="00CD739E">
        <w:rPr>
          <w:rStyle w:val="lev"/>
          <w:rFonts w:ascii="Arial" w:hAnsi="Arial" w:cs="Arial"/>
          <w:color w:val="000000"/>
          <w:sz w:val="40"/>
          <w:szCs w:val="40"/>
          <w:u w:val="single"/>
          <w:bdr w:val="none" w:sz="0" w:space="0" w:color="auto" w:frame="1"/>
        </w:rPr>
        <w:t xml:space="preserve">Méthode de calcul </w:t>
      </w:r>
      <w:proofErr w:type="gramStart"/>
      <w:r w:rsidRPr="00CD739E">
        <w:rPr>
          <w:rStyle w:val="lev"/>
          <w:rFonts w:ascii="Arial" w:hAnsi="Arial" w:cs="Arial"/>
          <w:color w:val="000000"/>
          <w:sz w:val="40"/>
          <w:szCs w:val="40"/>
          <w:u w:val="single"/>
          <w:bdr w:val="none" w:sz="0" w:space="0" w:color="auto" w:frame="1"/>
        </w:rPr>
        <w:t>des contrat</w:t>
      </w:r>
      <w:proofErr w:type="gramEnd"/>
      <w:r w:rsidRPr="00CD739E">
        <w:rPr>
          <w:rStyle w:val="lev"/>
          <w:rFonts w:ascii="Arial" w:hAnsi="Arial" w:cs="Arial"/>
          <w:color w:val="000000"/>
          <w:sz w:val="40"/>
          <w:szCs w:val="40"/>
          <w:u w:val="single"/>
          <w:bdr w:val="none" w:sz="0" w:space="0" w:color="auto" w:frame="1"/>
        </w:rPr>
        <w:t xml:space="preserve"> de retraite Madelin</w:t>
      </w:r>
    </w:p>
    <w:p w14:paraId="35ABFA0E" w14:textId="77777777" w:rsidR="00CF3754" w:rsidRPr="00CD739E" w:rsidRDefault="00CF3754" w:rsidP="00CF3754">
      <w:pPr>
        <w:pStyle w:val="NormalWeb"/>
        <w:shd w:val="clear" w:color="auto" w:fill="FFFFFF"/>
        <w:spacing w:before="0" w:beforeAutospacing="0" w:after="0" w:afterAutospacing="0"/>
        <w:textAlignment w:val="baseline"/>
        <w:rPr>
          <w:rStyle w:val="lev"/>
          <w:rFonts w:ascii="Arial" w:hAnsi="Arial" w:cs="Arial"/>
          <w:color w:val="000000"/>
          <w:sz w:val="30"/>
          <w:szCs w:val="30"/>
          <w:bdr w:val="none" w:sz="0" w:space="0" w:color="auto" w:frame="1"/>
        </w:rPr>
      </w:pPr>
    </w:p>
    <w:p w14:paraId="6086140F" w14:textId="6AAEFB98" w:rsidR="003F012A" w:rsidRPr="00CD739E" w:rsidRDefault="003F012A" w:rsidP="003F012A">
      <w:pPr>
        <w:pStyle w:val="NormalWeb"/>
        <w:shd w:val="clear" w:color="auto" w:fill="FFFFFF"/>
        <w:jc w:val="both"/>
        <w:textAlignment w:val="baseline"/>
        <w:rPr>
          <w:rFonts w:ascii="Arial" w:hAnsi="Arial" w:cs="Arial"/>
          <w:color w:val="000000"/>
          <w:sz w:val="32"/>
          <w:szCs w:val="32"/>
        </w:rPr>
      </w:pPr>
      <w:r w:rsidRPr="00CD739E">
        <w:rPr>
          <w:rFonts w:ascii="Arial" w:hAnsi="Arial" w:cs="Arial"/>
          <w:color w:val="000000"/>
          <w:sz w:val="32"/>
          <w:szCs w:val="32"/>
        </w:rPr>
        <w:t>Instauré par la loi du 11 février 1994 dite loi Madelin du nom du ministre des finances Alain MADELIN, le contrat de retraite Madelin fait bénéficier les travailleurs non-salariés de compléments de pensions de retraite, sur la base du volontariat. En matière de fiscalité, les cotisations versées peuvent faire l'objet de déduction fiscale.</w:t>
      </w:r>
    </w:p>
    <w:p w14:paraId="12BC623D" w14:textId="0AF63E7E" w:rsidR="003F012A" w:rsidRPr="00CD739E" w:rsidRDefault="003F012A" w:rsidP="003F012A">
      <w:pPr>
        <w:pStyle w:val="NormalWeb"/>
        <w:shd w:val="clear" w:color="auto" w:fill="FFFFFF"/>
        <w:jc w:val="both"/>
        <w:textAlignment w:val="baseline"/>
        <w:rPr>
          <w:rFonts w:ascii="Arial" w:hAnsi="Arial" w:cs="Arial"/>
          <w:color w:val="000000"/>
          <w:sz w:val="32"/>
          <w:szCs w:val="32"/>
        </w:rPr>
      </w:pPr>
      <w:r w:rsidRPr="00CD739E">
        <w:rPr>
          <w:rFonts w:ascii="Arial" w:hAnsi="Arial" w:cs="Arial"/>
          <w:color w:val="000000"/>
          <w:sz w:val="32"/>
          <w:szCs w:val="32"/>
        </w:rPr>
        <w:t xml:space="preserve">À savoir : les contrats Madelin ne seront plus commercialisés au 1er octobre 2020 et </w:t>
      </w:r>
      <w:r w:rsidR="00CD739E">
        <w:rPr>
          <w:rFonts w:ascii="Arial" w:hAnsi="Arial" w:cs="Arial"/>
          <w:color w:val="000000"/>
          <w:sz w:val="32"/>
          <w:szCs w:val="32"/>
        </w:rPr>
        <w:t>ont été</w:t>
      </w:r>
      <w:r w:rsidRPr="00CD739E">
        <w:rPr>
          <w:rFonts w:ascii="Arial" w:hAnsi="Arial" w:cs="Arial"/>
          <w:color w:val="000000"/>
          <w:sz w:val="32"/>
          <w:szCs w:val="32"/>
        </w:rPr>
        <w:t xml:space="preserve"> remplacés par le PER individuel. </w:t>
      </w:r>
      <w:r w:rsidR="00CD739E">
        <w:rPr>
          <w:rFonts w:ascii="Arial" w:hAnsi="Arial" w:cs="Arial"/>
          <w:color w:val="000000"/>
          <w:sz w:val="32"/>
          <w:szCs w:val="32"/>
        </w:rPr>
        <w:t xml:space="preserve">Mais on les appelle encore Madelin car ils datent d’avant 2020. </w:t>
      </w:r>
      <w:r w:rsidRPr="00CD739E">
        <w:rPr>
          <w:rFonts w:ascii="Arial" w:hAnsi="Arial" w:cs="Arial"/>
          <w:color w:val="000000"/>
          <w:sz w:val="32"/>
          <w:szCs w:val="32"/>
        </w:rPr>
        <w:t>Cela fait suite à la mise en place de la loi Pacte au 1er octobre 2019 qui a simplifié les produits d'épargne, qu'ils soient individuels ou collectifs, et harmonisé leurs règles. Par conséquent les contrat Madelin continuent à exister à partir du 1</w:t>
      </w:r>
      <w:r w:rsidRPr="00CD739E">
        <w:rPr>
          <w:rFonts w:ascii="Arial" w:hAnsi="Arial" w:cs="Arial"/>
          <w:color w:val="000000"/>
          <w:sz w:val="32"/>
          <w:szCs w:val="32"/>
          <w:vertAlign w:val="superscript"/>
        </w:rPr>
        <w:t>er</w:t>
      </w:r>
      <w:r w:rsidRPr="00CD739E">
        <w:rPr>
          <w:rFonts w:ascii="Arial" w:hAnsi="Arial" w:cs="Arial"/>
          <w:color w:val="000000"/>
          <w:sz w:val="32"/>
          <w:szCs w:val="32"/>
        </w:rPr>
        <w:t xml:space="preserve"> octobre 2020 avec la fiscalité des PER</w:t>
      </w:r>
    </w:p>
    <w:p w14:paraId="1BC90708" w14:textId="77777777" w:rsidR="003F012A" w:rsidRPr="00CD739E" w:rsidRDefault="003F012A" w:rsidP="00CF3754">
      <w:pPr>
        <w:pStyle w:val="NormalWeb"/>
        <w:shd w:val="clear" w:color="auto" w:fill="FFFFFF"/>
        <w:spacing w:before="0" w:beforeAutospacing="0" w:after="0" w:afterAutospacing="0"/>
        <w:textAlignment w:val="baseline"/>
        <w:rPr>
          <w:rStyle w:val="lev"/>
          <w:rFonts w:ascii="Arial" w:hAnsi="Arial" w:cs="Arial"/>
          <w:color w:val="000000"/>
          <w:sz w:val="30"/>
          <w:szCs w:val="30"/>
          <w:bdr w:val="none" w:sz="0" w:space="0" w:color="auto" w:frame="1"/>
        </w:rPr>
      </w:pPr>
    </w:p>
    <w:p w14:paraId="05C9F104" w14:textId="13CC32E4" w:rsidR="00CF3754" w:rsidRPr="00CD739E" w:rsidRDefault="00CF3754" w:rsidP="00CF3754">
      <w:pPr>
        <w:pStyle w:val="NormalWeb"/>
        <w:shd w:val="clear" w:color="auto" w:fill="FFFFFF"/>
        <w:spacing w:before="0" w:beforeAutospacing="0" w:after="0" w:afterAutospacing="0"/>
        <w:textAlignment w:val="baseline"/>
        <w:rPr>
          <w:rFonts w:ascii="Arial" w:hAnsi="Arial" w:cs="Arial"/>
          <w:color w:val="000000"/>
          <w:sz w:val="30"/>
          <w:szCs w:val="30"/>
        </w:rPr>
      </w:pPr>
      <w:r w:rsidRPr="00CD739E">
        <w:rPr>
          <w:rStyle w:val="lev"/>
          <w:rFonts w:ascii="Arial" w:hAnsi="Arial" w:cs="Arial"/>
          <w:color w:val="000000"/>
          <w:sz w:val="30"/>
          <w:szCs w:val="30"/>
          <w:bdr w:val="none" w:sz="0" w:space="0" w:color="auto" w:frame="1"/>
        </w:rPr>
        <w:t>Exemple pour 2020 :</w:t>
      </w:r>
    </w:p>
    <w:p w14:paraId="2F2FE385" w14:textId="77777777" w:rsidR="00CF3754" w:rsidRPr="00CD739E" w:rsidRDefault="00CF3754" w:rsidP="00CF3754">
      <w:pPr>
        <w:pStyle w:val="NormalWeb"/>
        <w:shd w:val="clear" w:color="auto" w:fill="FFFFFF"/>
        <w:spacing w:before="0" w:after="0"/>
        <w:textAlignment w:val="baseline"/>
        <w:rPr>
          <w:rFonts w:ascii="Arial" w:hAnsi="Arial" w:cs="Arial"/>
          <w:color w:val="000000"/>
          <w:sz w:val="32"/>
          <w:szCs w:val="32"/>
        </w:rPr>
      </w:pPr>
      <w:r w:rsidRPr="00CD739E">
        <w:rPr>
          <w:rFonts w:ascii="Arial" w:hAnsi="Arial" w:cs="Arial"/>
          <w:color w:val="000000"/>
          <w:sz w:val="32"/>
          <w:szCs w:val="32"/>
        </w:rPr>
        <w:t>Un indépendant réalise un bénéfice de 70</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000</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w:t>
      </w:r>
    </w:p>
    <w:p w14:paraId="5B384094" w14:textId="77777777" w:rsidR="00CF3754" w:rsidRPr="00CD739E" w:rsidRDefault="00CF3754" w:rsidP="00CF3754">
      <w:pPr>
        <w:pStyle w:val="NormalWeb"/>
        <w:shd w:val="clear" w:color="auto" w:fill="FFFFFF"/>
        <w:spacing w:before="0" w:after="0"/>
        <w:textAlignment w:val="baseline"/>
        <w:rPr>
          <w:rFonts w:ascii="Arial" w:hAnsi="Arial" w:cs="Arial"/>
          <w:color w:val="000000"/>
          <w:sz w:val="32"/>
          <w:szCs w:val="32"/>
        </w:rPr>
      </w:pPr>
      <w:r w:rsidRPr="00CD739E">
        <w:rPr>
          <w:rFonts w:ascii="Arial" w:hAnsi="Arial" w:cs="Arial"/>
          <w:color w:val="000000"/>
          <w:sz w:val="32"/>
          <w:szCs w:val="32"/>
        </w:rPr>
        <w:t>On calcule d'abord 10</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 de son bénéfice : 10</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x</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70</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000</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7</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000</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w:t>
      </w:r>
    </w:p>
    <w:p w14:paraId="181250C0" w14:textId="77777777" w:rsidR="00CF3754" w:rsidRPr="00CD739E" w:rsidRDefault="00CF3754" w:rsidP="00CF3754">
      <w:pPr>
        <w:pStyle w:val="NormalWeb"/>
        <w:shd w:val="clear" w:color="auto" w:fill="FFFFFF"/>
        <w:spacing w:before="0" w:after="0"/>
        <w:textAlignment w:val="baseline"/>
        <w:rPr>
          <w:rFonts w:ascii="Arial" w:hAnsi="Arial" w:cs="Arial"/>
          <w:color w:val="000000"/>
          <w:sz w:val="32"/>
          <w:szCs w:val="32"/>
        </w:rPr>
      </w:pPr>
      <w:r w:rsidRPr="00CD739E">
        <w:rPr>
          <w:rFonts w:ascii="Arial" w:hAnsi="Arial" w:cs="Arial"/>
          <w:color w:val="000000"/>
          <w:sz w:val="32"/>
          <w:szCs w:val="32"/>
        </w:rPr>
        <w:t>Cette somme est inférieure à 32</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908,80</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 on peut donc la retenir.</w:t>
      </w:r>
    </w:p>
    <w:p w14:paraId="11B08735" w14:textId="77777777" w:rsidR="00CF3754" w:rsidRPr="00CD739E" w:rsidRDefault="00CF3754" w:rsidP="00CF3754">
      <w:pPr>
        <w:pStyle w:val="NormalWeb"/>
        <w:shd w:val="clear" w:color="auto" w:fill="FFFFFF"/>
        <w:spacing w:before="0" w:after="0"/>
        <w:textAlignment w:val="baseline"/>
        <w:rPr>
          <w:rFonts w:ascii="Arial" w:hAnsi="Arial" w:cs="Arial"/>
          <w:color w:val="000000"/>
          <w:sz w:val="32"/>
          <w:szCs w:val="32"/>
        </w:rPr>
      </w:pPr>
      <w:r w:rsidRPr="00CD739E">
        <w:rPr>
          <w:rFonts w:ascii="Arial" w:hAnsi="Arial" w:cs="Arial"/>
          <w:color w:val="000000"/>
          <w:sz w:val="32"/>
          <w:szCs w:val="32"/>
        </w:rPr>
        <w:t>On prend ensuite la partie de son bénéfice entre 1 et 8 fois le PASS (dans notre exemple, l'ensemble du bénéfice au-delà d'1 PASS) : 70</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000</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41</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136</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28</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864</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 15</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 de cette somme font 4</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329,60</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w:t>
      </w:r>
    </w:p>
    <w:p w14:paraId="3C3FAB3C" w14:textId="76DD6195" w:rsidR="00CF3754" w:rsidRPr="00CD739E" w:rsidRDefault="00CF3754" w:rsidP="00CF3754">
      <w:pPr>
        <w:pStyle w:val="NormalWeb"/>
        <w:shd w:val="clear" w:color="auto" w:fill="FFFFFF"/>
        <w:spacing w:before="0" w:after="0"/>
        <w:textAlignment w:val="baseline"/>
        <w:rPr>
          <w:rFonts w:ascii="Arial" w:hAnsi="Arial" w:cs="Arial"/>
          <w:color w:val="000000"/>
          <w:sz w:val="32"/>
          <w:szCs w:val="32"/>
        </w:rPr>
      </w:pPr>
      <w:r w:rsidRPr="00CD739E">
        <w:rPr>
          <w:rFonts w:ascii="Arial" w:hAnsi="Arial" w:cs="Arial"/>
          <w:color w:val="000000"/>
          <w:sz w:val="32"/>
          <w:szCs w:val="32"/>
        </w:rPr>
        <w:t>Les cotisations sur le contrat Madelin seront donc déductibles jusqu'à 7</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000</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4</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329,60</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11</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329,60</w:t>
      </w:r>
      <w:r w:rsidRPr="00CD739E">
        <w:rPr>
          <w:rStyle w:val="nbsp"/>
          <w:rFonts w:ascii="Arial" w:hAnsi="Arial" w:cs="Arial"/>
          <w:color w:val="000000"/>
          <w:sz w:val="32"/>
          <w:szCs w:val="32"/>
          <w:bdr w:val="none" w:sz="0" w:space="0" w:color="auto" w:frame="1"/>
        </w:rPr>
        <w:t> </w:t>
      </w:r>
      <w:r w:rsidRPr="00CD739E">
        <w:rPr>
          <w:rFonts w:ascii="Arial" w:hAnsi="Arial" w:cs="Arial"/>
          <w:color w:val="000000"/>
          <w:sz w:val="32"/>
          <w:szCs w:val="32"/>
        </w:rPr>
        <w:t>€.</w:t>
      </w:r>
    </w:p>
    <w:p w14:paraId="25F593E1" w14:textId="5936F73A" w:rsidR="00CD739E" w:rsidRPr="00CD739E" w:rsidRDefault="00CD739E" w:rsidP="00CF3754">
      <w:pPr>
        <w:pStyle w:val="NormalWeb"/>
        <w:shd w:val="clear" w:color="auto" w:fill="FFFFFF"/>
        <w:spacing w:before="0" w:after="0"/>
        <w:textAlignment w:val="baseline"/>
        <w:rPr>
          <w:rFonts w:ascii="Arial" w:hAnsi="Arial" w:cs="Arial"/>
          <w:color w:val="000000"/>
          <w:sz w:val="30"/>
          <w:szCs w:val="30"/>
        </w:rPr>
      </w:pPr>
    </w:p>
    <w:p w14:paraId="4BC5C411" w14:textId="77777777" w:rsidR="00CD739E" w:rsidRPr="00CD739E" w:rsidRDefault="00CD739E">
      <w:pPr>
        <w:rPr>
          <w:rFonts w:ascii="Arial" w:eastAsia="Times New Roman" w:hAnsi="Arial" w:cs="Arial"/>
          <w:lang w:eastAsia="fr-FR"/>
        </w:rPr>
      </w:pPr>
      <w:r w:rsidRPr="00CD739E">
        <w:rPr>
          <w:rFonts w:ascii="Arial" w:eastAsia="Times New Roman" w:hAnsi="Arial" w:cs="Arial"/>
          <w:lang w:eastAsia="fr-FR"/>
        </w:rPr>
        <w:br w:type="page"/>
      </w:r>
    </w:p>
    <w:p w14:paraId="39A39F41" w14:textId="7CFF8DF3" w:rsidR="00CD739E" w:rsidRPr="00CD739E" w:rsidRDefault="00CD739E" w:rsidP="00CD739E">
      <w:pPr>
        <w:jc w:val="center"/>
        <w:rPr>
          <w:rFonts w:ascii="Arial" w:eastAsia="Times New Roman" w:hAnsi="Arial" w:cs="Arial"/>
          <w:b/>
          <w:bCs/>
          <w:sz w:val="72"/>
          <w:szCs w:val="72"/>
          <w:lang w:eastAsia="fr-FR"/>
        </w:rPr>
      </w:pPr>
      <w:r w:rsidRPr="00CD739E">
        <w:rPr>
          <w:rFonts w:ascii="Arial" w:eastAsia="Times New Roman" w:hAnsi="Arial" w:cs="Arial"/>
          <w:b/>
          <w:bCs/>
          <w:sz w:val="72"/>
          <w:szCs w:val="72"/>
          <w:lang w:eastAsia="fr-FR"/>
        </w:rPr>
        <w:lastRenderedPageBreak/>
        <w:t>CONTRATS PRÉFON</w:t>
      </w:r>
    </w:p>
    <w:p w14:paraId="51ECD5B1" w14:textId="77777777" w:rsidR="00CD739E" w:rsidRPr="00CD739E" w:rsidRDefault="00CD739E" w:rsidP="00CD739E">
      <w:pPr>
        <w:jc w:val="both"/>
        <w:rPr>
          <w:rFonts w:ascii="Arial" w:eastAsia="Times New Roman" w:hAnsi="Arial" w:cs="Arial"/>
          <w:lang w:eastAsia="fr-FR"/>
        </w:rPr>
      </w:pPr>
    </w:p>
    <w:p w14:paraId="699A7F50" w14:textId="77777777" w:rsidR="00CD739E" w:rsidRPr="00CD739E" w:rsidRDefault="00CD739E" w:rsidP="00CD739E">
      <w:pPr>
        <w:jc w:val="both"/>
        <w:rPr>
          <w:rFonts w:ascii="Arial" w:eastAsia="Times New Roman" w:hAnsi="Arial" w:cs="Arial"/>
          <w:lang w:eastAsia="fr-FR"/>
        </w:rPr>
      </w:pPr>
    </w:p>
    <w:p w14:paraId="63E0A157" w14:textId="77777777" w:rsidR="00CD739E" w:rsidRPr="00CD739E" w:rsidRDefault="00CD739E" w:rsidP="00CD739E">
      <w:pPr>
        <w:jc w:val="both"/>
        <w:rPr>
          <w:rFonts w:ascii="Arial" w:eastAsia="Times New Roman" w:hAnsi="Arial" w:cs="Arial"/>
          <w:lang w:eastAsia="fr-FR"/>
        </w:rPr>
      </w:pPr>
    </w:p>
    <w:p w14:paraId="2D307E8D" w14:textId="77777777" w:rsidR="00CD739E" w:rsidRPr="00CD739E" w:rsidRDefault="00CD739E" w:rsidP="00CD739E">
      <w:pPr>
        <w:jc w:val="both"/>
        <w:rPr>
          <w:rFonts w:ascii="Arial" w:eastAsia="Times New Roman" w:hAnsi="Arial" w:cs="Arial"/>
          <w:lang w:eastAsia="fr-FR"/>
        </w:rPr>
      </w:pPr>
    </w:p>
    <w:p w14:paraId="4B2CDB35" w14:textId="77777777" w:rsidR="00CD739E" w:rsidRPr="00CD739E" w:rsidRDefault="00CD739E" w:rsidP="00CD739E">
      <w:pPr>
        <w:jc w:val="both"/>
        <w:rPr>
          <w:rFonts w:ascii="Arial" w:eastAsia="Times New Roman" w:hAnsi="Arial" w:cs="Arial"/>
          <w:lang w:eastAsia="fr-FR"/>
        </w:rPr>
      </w:pPr>
    </w:p>
    <w:p w14:paraId="6735A785" w14:textId="3873BD2B" w:rsidR="00CD739E" w:rsidRPr="00CD739E" w:rsidRDefault="00CD739E" w:rsidP="00CD739E">
      <w:pPr>
        <w:jc w:val="both"/>
        <w:rPr>
          <w:rFonts w:ascii="Arial" w:eastAsia="Times New Roman" w:hAnsi="Arial" w:cs="Arial"/>
          <w:sz w:val="32"/>
          <w:szCs w:val="32"/>
          <w:lang w:eastAsia="fr-FR"/>
        </w:rPr>
      </w:pPr>
      <w:r w:rsidRPr="00CD739E">
        <w:rPr>
          <w:rFonts w:ascii="Arial" w:eastAsia="Times New Roman" w:hAnsi="Arial" w:cs="Arial"/>
          <w:sz w:val="32"/>
          <w:szCs w:val="32"/>
          <w:lang w:eastAsia="fr-FR"/>
        </w:rPr>
        <w:t xml:space="preserve">Eux-aussi, sont devenus des PER mais ce sont des PER destinés aux seuls fonctionnaires des administrations publiques. Il s’agit d’un régime créé en 1968 par les syndicats avec l’appui de la Caisse Nationale de Prévoyance qui appartient au groupe Caisse des dépôts et consignations. </w:t>
      </w:r>
    </w:p>
    <w:p w14:paraId="155DF171" w14:textId="77777777" w:rsidR="00CD739E" w:rsidRPr="00CD739E" w:rsidRDefault="00CD739E" w:rsidP="00CD739E">
      <w:pPr>
        <w:rPr>
          <w:rFonts w:ascii="Arial" w:eastAsia="Times New Roman" w:hAnsi="Arial" w:cs="Arial"/>
          <w:sz w:val="32"/>
          <w:szCs w:val="32"/>
          <w:lang w:eastAsia="fr-FR"/>
        </w:rPr>
      </w:pPr>
    </w:p>
    <w:p w14:paraId="7CE59393" w14:textId="77777777" w:rsidR="00CD739E" w:rsidRPr="00CD739E" w:rsidRDefault="00CD739E" w:rsidP="00CD739E">
      <w:pPr>
        <w:jc w:val="both"/>
        <w:rPr>
          <w:rFonts w:ascii="Arial" w:eastAsia="Times New Roman" w:hAnsi="Arial" w:cs="Arial"/>
          <w:sz w:val="32"/>
          <w:szCs w:val="32"/>
          <w:lang w:eastAsia="fr-FR"/>
        </w:rPr>
      </w:pPr>
      <w:r w:rsidRPr="00CD739E">
        <w:rPr>
          <w:rFonts w:ascii="Arial" w:eastAsia="Times New Roman" w:hAnsi="Arial" w:cs="Arial"/>
          <w:sz w:val="32"/>
          <w:szCs w:val="32"/>
          <w:lang w:eastAsia="fr-FR"/>
        </w:rPr>
        <w:t xml:space="preserve">En application de l’article 163 I 1 c </w:t>
      </w:r>
      <w:proofErr w:type="spellStart"/>
      <w:r w:rsidRPr="00CD739E">
        <w:rPr>
          <w:rFonts w:ascii="Arial" w:eastAsia="Times New Roman" w:hAnsi="Arial" w:cs="Arial"/>
          <w:sz w:val="32"/>
          <w:szCs w:val="32"/>
          <w:lang w:eastAsia="fr-FR"/>
        </w:rPr>
        <w:t>quatervicies</w:t>
      </w:r>
      <w:proofErr w:type="spellEnd"/>
      <w:r w:rsidRPr="00CD739E">
        <w:rPr>
          <w:rFonts w:ascii="Arial" w:eastAsia="Times New Roman" w:hAnsi="Arial" w:cs="Arial"/>
          <w:sz w:val="32"/>
          <w:szCs w:val="32"/>
          <w:lang w:eastAsia="fr-FR"/>
        </w:rPr>
        <w:t xml:space="preserve"> du Code général des impôts (CGI), les cotisations versées au titre d’un contrat PRÉFON-RETRAITE sont déductibles du revenu net global dans certaines limites. </w:t>
      </w:r>
    </w:p>
    <w:p w14:paraId="65333C1B" w14:textId="77777777" w:rsidR="00CD739E" w:rsidRPr="00CD739E" w:rsidRDefault="00CD739E" w:rsidP="00CD739E">
      <w:pPr>
        <w:jc w:val="both"/>
        <w:rPr>
          <w:rFonts w:ascii="Arial" w:eastAsia="Times New Roman" w:hAnsi="Arial" w:cs="Arial"/>
          <w:sz w:val="32"/>
          <w:szCs w:val="32"/>
          <w:lang w:eastAsia="fr-FR"/>
        </w:rPr>
      </w:pPr>
    </w:p>
    <w:p w14:paraId="001D4FDA" w14:textId="77777777" w:rsidR="00CD739E" w:rsidRPr="00CD739E" w:rsidRDefault="00CD739E" w:rsidP="00CD739E">
      <w:pPr>
        <w:jc w:val="both"/>
        <w:rPr>
          <w:rFonts w:ascii="Arial" w:eastAsia="Times New Roman" w:hAnsi="Arial" w:cs="Arial"/>
          <w:sz w:val="32"/>
          <w:szCs w:val="32"/>
          <w:lang w:eastAsia="fr-FR"/>
        </w:rPr>
      </w:pPr>
      <w:r w:rsidRPr="00CD739E">
        <w:rPr>
          <w:rFonts w:ascii="Arial" w:eastAsia="Times New Roman" w:hAnsi="Arial" w:cs="Arial"/>
          <w:sz w:val="32"/>
          <w:szCs w:val="32"/>
          <w:lang w:eastAsia="fr-FR"/>
        </w:rPr>
        <w:t xml:space="preserve">Pour chaque membre du foyer fiscal, la limite globale annuelle de déduction est égale au plus élevé des deux montants suivants : </w:t>
      </w:r>
    </w:p>
    <w:p w14:paraId="5E98EB70" w14:textId="77777777" w:rsidR="00CD739E" w:rsidRPr="00CD739E" w:rsidRDefault="00CD739E" w:rsidP="00CD739E">
      <w:pPr>
        <w:jc w:val="both"/>
        <w:rPr>
          <w:rFonts w:ascii="Arial" w:eastAsia="Times New Roman" w:hAnsi="Arial" w:cs="Arial"/>
          <w:sz w:val="32"/>
          <w:szCs w:val="32"/>
          <w:lang w:eastAsia="fr-FR"/>
        </w:rPr>
      </w:pPr>
    </w:p>
    <w:p w14:paraId="5C6C1F1C" w14:textId="77777777" w:rsidR="00CD739E" w:rsidRPr="00CD739E" w:rsidRDefault="00CD739E" w:rsidP="00CD739E">
      <w:pPr>
        <w:jc w:val="both"/>
        <w:rPr>
          <w:rFonts w:ascii="Arial" w:eastAsia="Times New Roman" w:hAnsi="Arial" w:cs="Arial"/>
          <w:sz w:val="32"/>
          <w:szCs w:val="32"/>
          <w:lang w:eastAsia="fr-FR"/>
        </w:rPr>
      </w:pPr>
      <w:r w:rsidRPr="00CD739E">
        <w:rPr>
          <w:rFonts w:ascii="Arial" w:eastAsia="Times New Roman" w:hAnsi="Arial" w:cs="Arial"/>
          <w:sz w:val="32"/>
          <w:szCs w:val="32"/>
          <w:lang w:eastAsia="fr-FR"/>
        </w:rPr>
        <w:t xml:space="preserve">• 10 % des revenus professionnels (traitements et salaires) de l’année précédente, retenus dans la limite de huit fois le plafond annuel de la Sécurité sociale de l’année en cause, </w:t>
      </w:r>
      <w:proofErr w:type="gramStart"/>
      <w:r w:rsidRPr="00CD739E">
        <w:rPr>
          <w:rFonts w:ascii="Arial" w:eastAsia="Times New Roman" w:hAnsi="Arial" w:cs="Arial"/>
          <w:sz w:val="32"/>
          <w:szCs w:val="32"/>
          <w:lang w:eastAsia="fr-FR"/>
        </w:rPr>
        <w:t>ou</w:t>
      </w:r>
      <w:proofErr w:type="gramEnd"/>
      <w:r w:rsidRPr="00CD739E">
        <w:rPr>
          <w:rFonts w:ascii="Arial" w:eastAsia="Times New Roman" w:hAnsi="Arial" w:cs="Arial"/>
          <w:sz w:val="32"/>
          <w:szCs w:val="32"/>
          <w:lang w:eastAsia="fr-FR"/>
        </w:rPr>
        <w:t xml:space="preserve"> </w:t>
      </w:r>
    </w:p>
    <w:p w14:paraId="7DD66BDC" w14:textId="77777777" w:rsidR="00CD739E" w:rsidRPr="00CD739E" w:rsidRDefault="00CD739E" w:rsidP="00CD739E">
      <w:pPr>
        <w:jc w:val="both"/>
        <w:rPr>
          <w:rFonts w:ascii="Arial" w:eastAsia="Times New Roman" w:hAnsi="Arial" w:cs="Arial"/>
          <w:sz w:val="32"/>
          <w:szCs w:val="32"/>
          <w:lang w:eastAsia="fr-FR"/>
        </w:rPr>
      </w:pPr>
      <w:r w:rsidRPr="00CD739E">
        <w:rPr>
          <w:rFonts w:ascii="Arial" w:eastAsia="Times New Roman" w:hAnsi="Arial" w:cs="Arial"/>
          <w:sz w:val="32"/>
          <w:szCs w:val="32"/>
          <w:lang w:eastAsia="fr-FR"/>
        </w:rPr>
        <w:t xml:space="preserve">• 10 % du plafond annuel de la Sécurité sociale de l’année précédente. Les revenus professionnels à prendre en compte sont les revenus imposables, c’est à-dire les revenus nets de cotisations sociales, et de frais professionnels estimés forfaitairement à 10 % (si le contribuable opte pour les frais forfaitaires). Pour les couples mariés ou liés par un PACS, soumis à imposition commune, les cotisations sont déductibles dans une limite égale au total des montants déductibles pour chaque époux ou chaque partenaire du PACS. Dans les autres cas, le montant déductible est calculé individuellement pour chaque membre du foyer fiscal. </w:t>
      </w:r>
    </w:p>
    <w:p w14:paraId="3D88F163" w14:textId="77777777" w:rsidR="00CD739E" w:rsidRPr="00CD739E" w:rsidRDefault="00CD739E" w:rsidP="00CD739E">
      <w:pPr>
        <w:jc w:val="both"/>
        <w:rPr>
          <w:rFonts w:ascii="Arial" w:eastAsia="Times New Roman" w:hAnsi="Arial" w:cs="Arial"/>
          <w:sz w:val="32"/>
          <w:szCs w:val="32"/>
          <w:lang w:eastAsia="fr-FR"/>
        </w:rPr>
      </w:pPr>
    </w:p>
    <w:p w14:paraId="590E14EE" w14:textId="25F4DB2C" w:rsidR="00CD739E" w:rsidRPr="00CD739E" w:rsidRDefault="00CD739E" w:rsidP="00CD739E">
      <w:pPr>
        <w:jc w:val="both"/>
        <w:rPr>
          <w:rFonts w:ascii="Arial" w:eastAsia="Times New Roman" w:hAnsi="Arial" w:cs="Arial"/>
          <w:sz w:val="32"/>
          <w:szCs w:val="32"/>
          <w:lang w:eastAsia="fr-FR"/>
        </w:rPr>
      </w:pPr>
      <w:r w:rsidRPr="00CD739E">
        <w:rPr>
          <w:rFonts w:ascii="Arial" w:eastAsia="Times New Roman" w:hAnsi="Arial" w:cs="Arial"/>
          <w:sz w:val="32"/>
          <w:szCs w:val="32"/>
          <w:lang w:eastAsia="fr-FR"/>
        </w:rPr>
        <w:t xml:space="preserve">Si, au cours d’une année, la limite de déduction disponible n’est pas intégralement utilisée, le solde peut être reporté et utilisé au cours de l’une des trois années suivantes. </w:t>
      </w:r>
    </w:p>
    <w:p w14:paraId="2CB759C4" w14:textId="77777777" w:rsidR="00CD739E" w:rsidRPr="00CD739E" w:rsidRDefault="00CD739E" w:rsidP="00CF3754">
      <w:pPr>
        <w:pStyle w:val="NormalWeb"/>
        <w:shd w:val="clear" w:color="auto" w:fill="FFFFFF"/>
        <w:spacing w:before="0" w:after="0"/>
        <w:textAlignment w:val="baseline"/>
        <w:rPr>
          <w:rFonts w:ascii="Arial" w:hAnsi="Arial" w:cs="Arial"/>
          <w:color w:val="000000"/>
          <w:sz w:val="30"/>
          <w:szCs w:val="30"/>
        </w:rPr>
      </w:pPr>
    </w:p>
    <w:p w14:paraId="4F786D84" w14:textId="77777777" w:rsidR="0065267B" w:rsidRPr="00CD739E" w:rsidRDefault="0065267B">
      <w:pPr>
        <w:rPr>
          <w:rFonts w:ascii="Arial" w:hAnsi="Arial" w:cs="Arial"/>
        </w:rPr>
      </w:pPr>
    </w:p>
    <w:sectPr w:rsidR="0065267B" w:rsidRPr="00CD739E" w:rsidSect="00CD739E">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754"/>
    <w:rsid w:val="003F012A"/>
    <w:rsid w:val="0065267B"/>
    <w:rsid w:val="00CD739E"/>
    <w:rsid w:val="00CF3754"/>
    <w:rsid w:val="00F664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F038EA4"/>
  <w15:chartTrackingRefBased/>
  <w15:docId w15:val="{8C930E6E-02D1-5144-B1C8-A4CE44E3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F3754"/>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CF3754"/>
    <w:rPr>
      <w:b/>
      <w:bCs/>
    </w:rPr>
  </w:style>
  <w:style w:type="character" w:customStyle="1" w:styleId="nbsp">
    <w:name w:val="nbsp"/>
    <w:basedOn w:val="Policepardfaut"/>
    <w:rsid w:val="00CF3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119243">
      <w:bodyDiv w:val="1"/>
      <w:marLeft w:val="0"/>
      <w:marRight w:val="0"/>
      <w:marTop w:val="0"/>
      <w:marBottom w:val="0"/>
      <w:divBdr>
        <w:top w:val="none" w:sz="0" w:space="0" w:color="auto"/>
        <w:left w:val="none" w:sz="0" w:space="0" w:color="auto"/>
        <w:bottom w:val="none" w:sz="0" w:space="0" w:color="auto"/>
        <w:right w:val="none" w:sz="0" w:space="0" w:color="auto"/>
      </w:divBdr>
    </w:div>
    <w:div w:id="1500005684">
      <w:bodyDiv w:val="1"/>
      <w:marLeft w:val="0"/>
      <w:marRight w:val="0"/>
      <w:marTop w:val="0"/>
      <w:marBottom w:val="0"/>
      <w:divBdr>
        <w:top w:val="none" w:sz="0" w:space="0" w:color="auto"/>
        <w:left w:val="none" w:sz="0" w:space="0" w:color="auto"/>
        <w:bottom w:val="none" w:sz="0" w:space="0" w:color="auto"/>
        <w:right w:val="none" w:sz="0" w:space="0" w:color="auto"/>
      </w:divBdr>
    </w:div>
    <w:div w:id="1755779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465</Words>
  <Characters>2562</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Douat Hélène</dc:creator>
  <cp:keywords/>
  <dc:description/>
  <cp:lastModifiedBy>Douat Hélène</cp:lastModifiedBy>
  <cp:revision>3</cp:revision>
  <dcterms:created xsi:type="dcterms:W3CDTF">2021-03-26T12:33:00Z</dcterms:created>
  <dcterms:modified xsi:type="dcterms:W3CDTF">2021-03-26T12:52:00Z</dcterms:modified>
</cp:coreProperties>
</file>