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1FC0" w14:textId="77777777" w:rsidR="005E3E24" w:rsidRDefault="005E3E24" w:rsidP="005E3E24">
      <w:pPr>
        <w:jc w:val="both"/>
        <w:rPr>
          <w:rFonts w:ascii="Rockwell" w:hAnsi="Rockwell"/>
          <w:b/>
          <w:sz w:val="56"/>
          <w:szCs w:val="56"/>
          <w:u w:val="single"/>
        </w:rPr>
      </w:pPr>
    </w:p>
    <w:p w14:paraId="4985F6D2" w14:textId="77777777" w:rsidR="005E3E24" w:rsidRDefault="005E3E24" w:rsidP="005E3E24">
      <w:pPr>
        <w:jc w:val="both"/>
        <w:rPr>
          <w:rFonts w:ascii="Rockwell" w:hAnsi="Rockwell"/>
          <w:b/>
          <w:sz w:val="56"/>
          <w:szCs w:val="56"/>
          <w:u w:val="single"/>
        </w:rPr>
      </w:pPr>
    </w:p>
    <w:p w14:paraId="335AA99C" w14:textId="77777777" w:rsidR="005E3E24" w:rsidRPr="008F52F1" w:rsidRDefault="005E3E24" w:rsidP="005E3E24">
      <w:pPr>
        <w:jc w:val="both"/>
        <w:rPr>
          <w:rFonts w:ascii="Rockwell" w:hAnsi="Rockwell"/>
          <w:b/>
          <w:sz w:val="56"/>
          <w:szCs w:val="56"/>
          <w:u w:val="single"/>
        </w:rPr>
      </w:pPr>
      <w:r w:rsidRPr="008F52F1">
        <w:rPr>
          <w:rFonts w:ascii="Rockwell" w:hAnsi="Rockwell"/>
          <w:b/>
          <w:sz w:val="56"/>
          <w:szCs w:val="56"/>
          <w:u w:val="single"/>
        </w:rPr>
        <w:t>CHAP. 2 : LES TAUX DE LA TVA</w:t>
      </w:r>
    </w:p>
    <w:p w14:paraId="38299EEA" w14:textId="77777777" w:rsidR="005E3E24" w:rsidRDefault="005E3E24" w:rsidP="005E3E24">
      <w:pPr>
        <w:jc w:val="both"/>
        <w:rPr>
          <w:rFonts w:ascii="Rockwell" w:hAnsi="Rockwell"/>
          <w:sz w:val="32"/>
          <w:szCs w:val="32"/>
        </w:rPr>
      </w:pPr>
    </w:p>
    <w:p w14:paraId="2FC2374C" w14:textId="77777777" w:rsidR="005E3E24" w:rsidRDefault="005E3E24" w:rsidP="005E3E24">
      <w:pPr>
        <w:jc w:val="both"/>
        <w:rPr>
          <w:rFonts w:ascii="Rockwell" w:hAnsi="Rockwell"/>
          <w:b/>
          <w:sz w:val="32"/>
          <w:szCs w:val="32"/>
          <w:u w:val="single"/>
        </w:rPr>
      </w:pPr>
      <w:r w:rsidRPr="00BD566A">
        <w:rPr>
          <w:rFonts w:ascii="Rockwell" w:hAnsi="Rockwell"/>
          <w:b/>
          <w:sz w:val="32"/>
          <w:szCs w:val="32"/>
          <w:u w:val="single"/>
        </w:rPr>
        <w:t>Section 1 en Europe</w:t>
      </w:r>
    </w:p>
    <w:p w14:paraId="48D0329B" w14:textId="77777777" w:rsidR="005E3E24" w:rsidRPr="00BD566A" w:rsidRDefault="005E3E24" w:rsidP="005E3E24">
      <w:pPr>
        <w:jc w:val="both"/>
        <w:rPr>
          <w:rFonts w:ascii="Rockwell" w:hAnsi="Rockwell"/>
          <w:b/>
          <w:sz w:val="32"/>
          <w:szCs w:val="32"/>
          <w:u w:val="single"/>
        </w:rPr>
      </w:pPr>
    </w:p>
    <w:p w14:paraId="76322F89"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Les États conservent une liberté pour fixer les taux mais l’Europe fixe un taux plancher. </w:t>
      </w:r>
    </w:p>
    <w:p w14:paraId="7E5682B1" w14:textId="77777777" w:rsidR="005E3E24" w:rsidRDefault="005E3E24" w:rsidP="005E3E24">
      <w:pPr>
        <w:jc w:val="both"/>
        <w:rPr>
          <w:rFonts w:ascii="Rockwell" w:hAnsi="Rockwell" w:cs="Arial"/>
          <w:sz w:val="32"/>
          <w:szCs w:val="32"/>
        </w:rPr>
      </w:pPr>
    </w:p>
    <w:p w14:paraId="57E0BE1B" w14:textId="77777777" w:rsidR="005E3E24" w:rsidRPr="00455E4F" w:rsidRDefault="005E3E24" w:rsidP="005E3E24">
      <w:pPr>
        <w:jc w:val="both"/>
        <w:rPr>
          <w:rFonts w:ascii="Rockwell" w:hAnsi="Rockwell" w:cs="Arial"/>
          <w:sz w:val="32"/>
          <w:szCs w:val="32"/>
          <w:u w:val="single"/>
        </w:rPr>
      </w:pPr>
      <w:r w:rsidRPr="005E3E24">
        <w:rPr>
          <w:rFonts w:ascii="Rockwell" w:hAnsi="Rockwell" w:cs="Arial"/>
          <w:sz w:val="32"/>
          <w:szCs w:val="32"/>
          <w:highlight w:val="yellow"/>
          <w:u w:val="single"/>
        </w:rPr>
        <w:t>A/TAUX NORMAL</w:t>
      </w:r>
      <w:r w:rsidRPr="00455E4F">
        <w:rPr>
          <w:rFonts w:ascii="Rockwell" w:hAnsi="Rockwell" w:cs="Arial"/>
          <w:sz w:val="32"/>
          <w:szCs w:val="32"/>
          <w:u w:val="single"/>
        </w:rPr>
        <w:t xml:space="preserve"> </w:t>
      </w:r>
    </w:p>
    <w:p w14:paraId="63E9EABF" w14:textId="77777777" w:rsidR="005E3E24" w:rsidRDefault="005E3E24" w:rsidP="005E3E24">
      <w:pPr>
        <w:jc w:val="both"/>
        <w:rPr>
          <w:rFonts w:ascii="Rockwell" w:hAnsi="Rockwell" w:cs="Arial"/>
          <w:sz w:val="32"/>
          <w:szCs w:val="32"/>
        </w:rPr>
      </w:pPr>
      <w:r>
        <w:rPr>
          <w:rFonts w:ascii="Rockwell" w:hAnsi="Rockwell" w:cs="Arial"/>
          <w:sz w:val="32"/>
          <w:szCs w:val="32"/>
        </w:rPr>
        <w:t xml:space="preserve">Chaque État membre de l’UE applique un taux normal à la livraison de la plupart des biens et services. Ce taux ne peut pas être inférieur à 15%. </w:t>
      </w:r>
    </w:p>
    <w:p w14:paraId="1FDF9288" w14:textId="77777777" w:rsidR="005E3E24" w:rsidRDefault="005E3E24" w:rsidP="005E3E24">
      <w:pPr>
        <w:jc w:val="both"/>
        <w:rPr>
          <w:rFonts w:ascii="Rockwell" w:hAnsi="Rockwell" w:cs="Arial"/>
          <w:sz w:val="32"/>
          <w:szCs w:val="32"/>
        </w:rPr>
      </w:pPr>
    </w:p>
    <w:p w14:paraId="5F052985" w14:textId="77777777" w:rsidR="005E3E24" w:rsidRDefault="005E3E24" w:rsidP="005E3E24">
      <w:pPr>
        <w:jc w:val="both"/>
        <w:rPr>
          <w:rFonts w:ascii="Rockwell" w:hAnsi="Rockwell" w:cs="Arial"/>
          <w:sz w:val="32"/>
          <w:szCs w:val="32"/>
        </w:rPr>
      </w:pPr>
      <w:r>
        <w:rPr>
          <w:rFonts w:ascii="Rockwell" w:hAnsi="Rockwell" w:cs="Arial"/>
          <w:sz w:val="32"/>
          <w:szCs w:val="32"/>
        </w:rPr>
        <w:t>P</w:t>
      </w:r>
      <w:r w:rsidRPr="003D1412">
        <w:rPr>
          <w:rFonts w:ascii="Rockwell" w:hAnsi="Rockwell" w:cs="Arial"/>
          <w:sz w:val="32"/>
          <w:szCs w:val="32"/>
        </w:rPr>
        <w:t xml:space="preserve">our le taux normal de TVA, on trouve le taux le plus élevé en Hongrie avec 27%, </w:t>
      </w:r>
    </w:p>
    <w:p w14:paraId="6416C368" w14:textId="77777777" w:rsidR="005E3E24" w:rsidRDefault="005E3E24" w:rsidP="005E3E24">
      <w:pPr>
        <w:jc w:val="both"/>
        <w:rPr>
          <w:rFonts w:ascii="Rockwell" w:hAnsi="Rockwell" w:cs="Arial"/>
          <w:sz w:val="32"/>
          <w:szCs w:val="32"/>
        </w:rPr>
      </w:pPr>
    </w:p>
    <w:p w14:paraId="585362CB" w14:textId="77777777" w:rsidR="005E3E24" w:rsidRDefault="005E3E24" w:rsidP="005E3E24">
      <w:pPr>
        <w:jc w:val="both"/>
        <w:rPr>
          <w:rFonts w:ascii="Rockwell" w:hAnsi="Rockwell" w:cs="Arial"/>
          <w:sz w:val="32"/>
          <w:szCs w:val="32"/>
        </w:rPr>
      </w:pPr>
      <w:r>
        <w:rPr>
          <w:rFonts w:ascii="Rockwell" w:hAnsi="Rockwell" w:cs="Arial"/>
          <w:sz w:val="32"/>
          <w:szCs w:val="32"/>
        </w:rPr>
        <w:t>3</w:t>
      </w:r>
      <w:r w:rsidRPr="003D1412">
        <w:rPr>
          <w:rFonts w:ascii="Rockwell" w:hAnsi="Rockwell" w:cs="Arial"/>
          <w:sz w:val="32"/>
          <w:szCs w:val="32"/>
        </w:rPr>
        <w:t xml:space="preserve"> pays sont à 25% (Croatie</w:t>
      </w:r>
      <w:r>
        <w:rPr>
          <w:rFonts w:ascii="Rockwell" w:hAnsi="Rockwell" w:cs="Arial"/>
          <w:sz w:val="32"/>
          <w:szCs w:val="32"/>
        </w:rPr>
        <w:t>, Danemark</w:t>
      </w:r>
      <w:r w:rsidRPr="003D1412">
        <w:rPr>
          <w:rFonts w:ascii="Rockwell" w:hAnsi="Rockwell" w:cs="Arial"/>
          <w:sz w:val="32"/>
          <w:szCs w:val="32"/>
        </w:rPr>
        <w:t xml:space="preserve"> et Suède</w:t>
      </w:r>
      <w:r>
        <w:rPr>
          <w:rStyle w:val="Appelnotedebasdep"/>
          <w:rFonts w:ascii="Rockwell" w:hAnsi="Rockwell" w:cs="Arial"/>
          <w:sz w:val="32"/>
          <w:szCs w:val="32"/>
        </w:rPr>
        <w:footnoteReference w:id="1"/>
      </w:r>
      <w:r w:rsidRPr="003D1412">
        <w:rPr>
          <w:rFonts w:ascii="Rockwell" w:hAnsi="Rockwell" w:cs="Arial"/>
          <w:sz w:val="32"/>
          <w:szCs w:val="32"/>
        </w:rPr>
        <w:t xml:space="preserve">), </w:t>
      </w:r>
    </w:p>
    <w:p w14:paraId="1201E2CF" w14:textId="77777777" w:rsidR="005E3E24" w:rsidRDefault="005E3E24" w:rsidP="005E3E24">
      <w:pPr>
        <w:jc w:val="both"/>
        <w:rPr>
          <w:rFonts w:ascii="Rockwell" w:hAnsi="Rockwell" w:cs="Arial"/>
          <w:sz w:val="32"/>
          <w:szCs w:val="32"/>
        </w:rPr>
      </w:pPr>
      <w:r>
        <w:rPr>
          <w:rFonts w:ascii="Rockwell" w:hAnsi="Rockwell" w:cs="Arial"/>
          <w:sz w:val="32"/>
          <w:szCs w:val="32"/>
        </w:rPr>
        <w:t>Pour la Croatie, le taux normal est tellement élevé qu’en raison de la crise, on a fait passer certains secteurs au taux réduit de 25% à 13% pour la préparation et le service des repas au 1</w:t>
      </w:r>
      <w:r w:rsidRPr="006B4FD8">
        <w:rPr>
          <w:rFonts w:ascii="Rockwell" w:hAnsi="Rockwell" w:cs="Arial"/>
          <w:sz w:val="32"/>
          <w:szCs w:val="32"/>
          <w:vertAlign w:val="superscript"/>
        </w:rPr>
        <w:t>er</w:t>
      </w:r>
      <w:r>
        <w:rPr>
          <w:rFonts w:ascii="Rockwell" w:hAnsi="Rockwell" w:cs="Arial"/>
          <w:sz w:val="32"/>
          <w:szCs w:val="32"/>
        </w:rPr>
        <w:t xml:space="preserve"> janvier 2021. Il était question d’abaisser le taux normal de 25%à 24% mais cela a été refusé.</w:t>
      </w:r>
    </w:p>
    <w:p w14:paraId="6D66E99A"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2 pays à 24% (Grèce et Finlande), </w:t>
      </w:r>
    </w:p>
    <w:p w14:paraId="201CA0F3"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3 sont à 23% (Irlande, Pologne et Portugal), </w:t>
      </w:r>
    </w:p>
    <w:p w14:paraId="05574241"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2 à 22% (Italie et Slovénie), </w:t>
      </w:r>
    </w:p>
    <w:p w14:paraId="7F955F06" w14:textId="77777777" w:rsidR="005E3E24" w:rsidRPr="00561473" w:rsidRDefault="005E3E24" w:rsidP="005E3E24">
      <w:pPr>
        <w:jc w:val="both"/>
        <w:rPr>
          <w:rFonts w:ascii="Rockwell" w:hAnsi="Rockwell" w:cs="Arial"/>
          <w:sz w:val="32"/>
          <w:szCs w:val="32"/>
          <w:u w:val="single"/>
        </w:rPr>
      </w:pPr>
      <w:r w:rsidRPr="003D1412">
        <w:rPr>
          <w:rFonts w:ascii="Rockwell" w:hAnsi="Rockwell" w:cs="Arial"/>
          <w:sz w:val="32"/>
          <w:szCs w:val="32"/>
        </w:rPr>
        <w:t xml:space="preserve">6 États appliquent le taux de 21% (Belgique, République Tchèque, Lettonie, Lituanie, Espagne et Pays-Bas). </w:t>
      </w:r>
      <w:r>
        <w:rPr>
          <w:rFonts w:ascii="Rockwell" w:hAnsi="Rockwell" w:cs="Arial"/>
          <w:sz w:val="32"/>
          <w:szCs w:val="32"/>
        </w:rPr>
        <w:t xml:space="preserve">Concernant les Pays-Bas, le commerce de vente de livres électroniques s’est envolé avec la crise. </w:t>
      </w:r>
      <w:r w:rsidRPr="00561473">
        <w:rPr>
          <w:rFonts w:ascii="Rockwell" w:hAnsi="Rockwell" w:cs="Arial"/>
          <w:sz w:val="32"/>
          <w:szCs w:val="32"/>
          <w:u w:val="single"/>
        </w:rPr>
        <w:t>On a donc abaissé le taux applicable sur ces ventes de 21% à 9%.</w:t>
      </w:r>
    </w:p>
    <w:p w14:paraId="206B57DA" w14:textId="77777777" w:rsidR="005E3E24" w:rsidRDefault="005E3E24" w:rsidP="005E3E24">
      <w:pPr>
        <w:jc w:val="both"/>
        <w:rPr>
          <w:rFonts w:ascii="Rockwell" w:hAnsi="Rockwell" w:cs="Arial"/>
          <w:b/>
          <w:sz w:val="32"/>
          <w:szCs w:val="32"/>
        </w:rPr>
      </w:pPr>
      <w:r w:rsidRPr="003D1412">
        <w:rPr>
          <w:rFonts w:ascii="Rockwell" w:hAnsi="Rockwell" w:cs="Arial"/>
          <w:sz w:val="32"/>
          <w:szCs w:val="32"/>
        </w:rPr>
        <w:t xml:space="preserve">Au total, on a </w:t>
      </w:r>
      <w:r>
        <w:rPr>
          <w:rFonts w:ascii="Rockwell" w:hAnsi="Rockwell" w:cs="Arial"/>
          <w:b/>
          <w:sz w:val="32"/>
          <w:szCs w:val="32"/>
          <w:u w:val="single"/>
        </w:rPr>
        <w:t xml:space="preserve">17 États </w:t>
      </w:r>
      <w:r w:rsidRPr="00533CF2">
        <w:rPr>
          <w:rFonts w:ascii="Rockwell" w:hAnsi="Rockwell" w:cs="Arial"/>
          <w:sz w:val="32"/>
          <w:szCs w:val="32"/>
        </w:rPr>
        <w:t xml:space="preserve">qui pratiquent un taux normal </w:t>
      </w:r>
      <w:r w:rsidRPr="00533CF2">
        <w:rPr>
          <w:rFonts w:ascii="Rockwell" w:hAnsi="Rockwell" w:cs="Arial"/>
          <w:b/>
          <w:sz w:val="32"/>
          <w:szCs w:val="32"/>
        </w:rPr>
        <w:t>supérieur à</w:t>
      </w:r>
      <w:r w:rsidRPr="00533CF2">
        <w:rPr>
          <w:rFonts w:ascii="Rockwell" w:hAnsi="Rockwell" w:cs="Arial"/>
          <w:sz w:val="32"/>
          <w:szCs w:val="32"/>
        </w:rPr>
        <w:t xml:space="preserve"> </w:t>
      </w:r>
      <w:r w:rsidRPr="00533CF2">
        <w:rPr>
          <w:rFonts w:ascii="Rockwell" w:hAnsi="Rockwell" w:cs="Arial"/>
          <w:b/>
          <w:sz w:val="32"/>
          <w:szCs w:val="32"/>
        </w:rPr>
        <w:t xml:space="preserve">20% </w:t>
      </w:r>
      <w:r w:rsidRPr="00533CF2">
        <w:rPr>
          <w:rFonts w:ascii="Rockwell" w:hAnsi="Rockwell" w:cs="Arial"/>
          <w:b/>
          <w:sz w:val="32"/>
          <w:szCs w:val="32"/>
          <w:u w:val="single"/>
        </w:rPr>
        <w:t>+ 11 États</w:t>
      </w:r>
      <w:r w:rsidRPr="00533CF2">
        <w:rPr>
          <w:rFonts w:ascii="Rockwell" w:hAnsi="Rockwell" w:cs="Arial"/>
          <w:b/>
          <w:sz w:val="32"/>
          <w:szCs w:val="32"/>
        </w:rPr>
        <w:t xml:space="preserve"> </w:t>
      </w:r>
      <w:r w:rsidRPr="00533CF2">
        <w:rPr>
          <w:rFonts w:ascii="Rockwell" w:hAnsi="Rockwell" w:cs="Arial"/>
          <w:sz w:val="32"/>
          <w:szCs w:val="32"/>
        </w:rPr>
        <w:t xml:space="preserve">qui ont un taux normal </w:t>
      </w:r>
      <w:r w:rsidRPr="00533CF2">
        <w:rPr>
          <w:rFonts w:ascii="Rockwell" w:hAnsi="Rockwell" w:cs="Arial"/>
          <w:b/>
          <w:sz w:val="32"/>
          <w:szCs w:val="32"/>
        </w:rPr>
        <w:t>inférieur ou égal à 20% = 28.</w:t>
      </w:r>
    </w:p>
    <w:p w14:paraId="5116049C" w14:textId="77777777" w:rsidR="005E3E24" w:rsidRDefault="005E3E24" w:rsidP="005E3E24">
      <w:pPr>
        <w:shd w:val="clear" w:color="auto" w:fill="FFFFFF" w:themeFill="background1"/>
        <w:jc w:val="both"/>
        <w:rPr>
          <w:rFonts w:ascii="Rockwell" w:hAnsi="Rockwell" w:cs="Arial"/>
          <w:b/>
          <w:color w:val="FF0000"/>
          <w:sz w:val="32"/>
          <w:szCs w:val="32"/>
          <w:u w:val="single"/>
        </w:rPr>
      </w:pPr>
    </w:p>
    <w:p w14:paraId="54BBBA46" w14:textId="77777777" w:rsidR="005E3E24" w:rsidRPr="0053733A" w:rsidRDefault="005E3E24" w:rsidP="005E3E24">
      <w:pPr>
        <w:shd w:val="clear" w:color="auto" w:fill="FFFFFF" w:themeFill="background1"/>
        <w:jc w:val="both"/>
        <w:rPr>
          <w:rFonts w:ascii="Rockwell" w:hAnsi="Rockwell" w:cs="Arial"/>
          <w:color w:val="FF0000"/>
          <w:sz w:val="32"/>
          <w:szCs w:val="32"/>
          <w:u w:val="single"/>
        </w:rPr>
      </w:pPr>
      <w:r w:rsidRPr="0053733A">
        <w:rPr>
          <w:rFonts w:ascii="Rockwell" w:hAnsi="Rockwell" w:cs="Arial"/>
          <w:b/>
          <w:color w:val="FF0000"/>
          <w:sz w:val="32"/>
          <w:szCs w:val="32"/>
          <w:u w:val="single"/>
        </w:rPr>
        <w:t>Quand on calcule le taux moyen des 28 il est à 21,46%</w:t>
      </w:r>
    </w:p>
    <w:p w14:paraId="40E5F4F5" w14:textId="77777777" w:rsidR="005E3E24" w:rsidRDefault="005E3E24" w:rsidP="005E3E24">
      <w:pPr>
        <w:jc w:val="both"/>
        <w:rPr>
          <w:rFonts w:ascii="Rockwell" w:hAnsi="Rockwell" w:cs="Arial"/>
          <w:sz w:val="32"/>
          <w:szCs w:val="32"/>
        </w:rPr>
      </w:pPr>
    </w:p>
    <w:p w14:paraId="50F33990" w14:textId="77777777" w:rsidR="005E3E24" w:rsidRDefault="005E3E24" w:rsidP="005E3E24">
      <w:pPr>
        <w:jc w:val="both"/>
        <w:rPr>
          <w:rFonts w:ascii="Rockwell" w:hAnsi="Rockwell" w:cs="Arial"/>
          <w:sz w:val="32"/>
          <w:szCs w:val="32"/>
        </w:rPr>
      </w:pPr>
      <w:r>
        <w:rPr>
          <w:rFonts w:ascii="Rockwell" w:hAnsi="Rockwell" w:cs="Arial"/>
          <w:sz w:val="32"/>
          <w:szCs w:val="32"/>
        </w:rPr>
        <w:lastRenderedPageBreak/>
        <w:t>6</w:t>
      </w:r>
      <w:r w:rsidRPr="003D1412">
        <w:rPr>
          <w:rFonts w:ascii="Rockwell" w:hAnsi="Rockwell" w:cs="Arial"/>
          <w:sz w:val="32"/>
          <w:szCs w:val="32"/>
        </w:rPr>
        <w:t xml:space="preserve"> États où le </w:t>
      </w:r>
      <w:r w:rsidRPr="003D1412">
        <w:rPr>
          <w:rFonts w:ascii="Rockwell" w:hAnsi="Rockwell" w:cs="Arial"/>
          <w:sz w:val="32"/>
          <w:szCs w:val="32"/>
          <w:u w:val="single"/>
        </w:rPr>
        <w:t>taux normal de TVA est à 20%</w:t>
      </w:r>
      <w:r w:rsidRPr="003D1412">
        <w:rPr>
          <w:rFonts w:ascii="Rockwell" w:hAnsi="Rockwell" w:cs="Arial"/>
          <w:sz w:val="32"/>
          <w:szCs w:val="32"/>
        </w:rPr>
        <w:t xml:space="preserve"> </w:t>
      </w:r>
    </w:p>
    <w:p w14:paraId="1DF42BFF" w14:textId="77777777" w:rsidR="005E3E24" w:rsidRDefault="005E3E24" w:rsidP="005E3E24">
      <w:pPr>
        <w:jc w:val="both"/>
        <w:rPr>
          <w:rFonts w:ascii="Rockwell" w:hAnsi="Rockwell" w:cs="Arial"/>
          <w:sz w:val="32"/>
          <w:szCs w:val="32"/>
        </w:rPr>
      </w:pPr>
      <w:r>
        <w:rPr>
          <w:rFonts w:ascii="Rockwell" w:hAnsi="Rockwell" w:cs="Arial"/>
          <w:sz w:val="32"/>
          <w:szCs w:val="32"/>
        </w:rPr>
        <w:t xml:space="preserve">Autriche, Bulgarie, Estonie, </w:t>
      </w:r>
      <w:r w:rsidRPr="00561473">
        <w:rPr>
          <w:rFonts w:ascii="Rockwell" w:hAnsi="Rockwell" w:cs="Arial"/>
          <w:b/>
          <w:sz w:val="32"/>
          <w:szCs w:val="32"/>
        </w:rPr>
        <w:t>France,</w:t>
      </w:r>
      <w:r>
        <w:rPr>
          <w:rFonts w:ascii="Rockwell" w:hAnsi="Rockwell" w:cs="Arial"/>
          <w:sz w:val="32"/>
          <w:szCs w:val="32"/>
        </w:rPr>
        <w:t xml:space="preserve"> Slovaquie et Royaume-Uni</w:t>
      </w:r>
      <w:r w:rsidRPr="003D1412">
        <w:rPr>
          <w:rFonts w:ascii="Rockwell" w:hAnsi="Rockwell" w:cs="Arial"/>
          <w:sz w:val="32"/>
          <w:szCs w:val="32"/>
        </w:rPr>
        <w:t xml:space="preserve">. </w:t>
      </w:r>
    </w:p>
    <w:p w14:paraId="3B489194" w14:textId="77777777" w:rsidR="005E3E24" w:rsidRDefault="005E3E24" w:rsidP="005E3E24">
      <w:pPr>
        <w:jc w:val="both"/>
        <w:rPr>
          <w:rFonts w:ascii="Rockwell" w:hAnsi="Rockwell" w:cs="Arial"/>
          <w:sz w:val="32"/>
          <w:szCs w:val="32"/>
        </w:rPr>
      </w:pPr>
    </w:p>
    <w:p w14:paraId="6A05C097"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Enfin nous trouvons en fin de liste, 5 États dont le taux normal de TVA </w:t>
      </w:r>
      <w:r w:rsidRPr="003D1412">
        <w:rPr>
          <w:rFonts w:ascii="Rockwell" w:hAnsi="Rockwell" w:cs="Arial"/>
          <w:sz w:val="32"/>
          <w:szCs w:val="32"/>
          <w:u w:val="single"/>
        </w:rPr>
        <w:t>est situé en dessous de 20% </w:t>
      </w:r>
      <w:r w:rsidRPr="003D1412">
        <w:rPr>
          <w:rFonts w:ascii="Rockwell" w:hAnsi="Rockwell" w:cs="Arial"/>
          <w:sz w:val="32"/>
          <w:szCs w:val="32"/>
        </w:rPr>
        <w:t xml:space="preserve">: </w:t>
      </w:r>
    </w:p>
    <w:p w14:paraId="79BA5B49"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19% pour trois États (Allemagne, Chypre et Roumanie), </w:t>
      </w:r>
    </w:p>
    <w:p w14:paraId="7D4CF813" w14:textId="77777777" w:rsidR="005E3E24" w:rsidRDefault="005E3E24" w:rsidP="005E3E24">
      <w:pPr>
        <w:jc w:val="both"/>
        <w:rPr>
          <w:rFonts w:ascii="Rockwell" w:hAnsi="Rockwell" w:cs="Arial"/>
          <w:sz w:val="32"/>
          <w:szCs w:val="32"/>
        </w:rPr>
      </w:pPr>
      <w:r w:rsidRPr="003D1412">
        <w:rPr>
          <w:rFonts w:ascii="Rockwell" w:hAnsi="Rockwell" w:cs="Arial"/>
          <w:sz w:val="32"/>
          <w:szCs w:val="32"/>
        </w:rPr>
        <w:t xml:space="preserve">18% pour Malte </w:t>
      </w:r>
      <w:r>
        <w:rPr>
          <w:rFonts w:ascii="Rockwell" w:hAnsi="Rockwell" w:cs="Arial"/>
          <w:sz w:val="32"/>
          <w:szCs w:val="32"/>
        </w:rPr>
        <w:t>et 1</w:t>
      </w:r>
      <w:r w:rsidRPr="003D1412">
        <w:rPr>
          <w:rFonts w:ascii="Rockwell" w:hAnsi="Rockwell" w:cs="Arial"/>
          <w:sz w:val="32"/>
          <w:szCs w:val="32"/>
        </w:rPr>
        <w:t>7% s</w:t>
      </w:r>
      <w:r>
        <w:rPr>
          <w:rFonts w:ascii="Rockwell" w:hAnsi="Rockwell" w:cs="Arial"/>
          <w:sz w:val="32"/>
          <w:szCs w:val="32"/>
        </w:rPr>
        <w:t>eulement pour le Luxembourg.</w:t>
      </w:r>
    </w:p>
    <w:p w14:paraId="0CD5FB26" w14:textId="77777777" w:rsidR="005E3E24" w:rsidRDefault="005E3E24" w:rsidP="005E3E24">
      <w:pPr>
        <w:jc w:val="both"/>
        <w:rPr>
          <w:rFonts w:ascii="Rockwell" w:hAnsi="Rockwell" w:cs="Arial"/>
          <w:sz w:val="32"/>
          <w:szCs w:val="32"/>
        </w:rPr>
      </w:pPr>
    </w:p>
    <w:p w14:paraId="0810993B" w14:textId="77777777" w:rsidR="005E3E24" w:rsidRDefault="005E3E24" w:rsidP="005E3E24">
      <w:pPr>
        <w:jc w:val="both"/>
        <w:rPr>
          <w:rFonts w:ascii="Rockwell" w:hAnsi="Rockwell" w:cs="Arial"/>
          <w:sz w:val="32"/>
          <w:szCs w:val="32"/>
        </w:rPr>
      </w:pPr>
    </w:p>
    <w:p w14:paraId="7FD3174A" w14:textId="77777777" w:rsidR="005E3E24" w:rsidRPr="00561473" w:rsidRDefault="005E3E24" w:rsidP="005E3E24">
      <w:pPr>
        <w:jc w:val="both"/>
        <w:rPr>
          <w:rFonts w:ascii="Rockwell" w:hAnsi="Rockwell" w:cs="Arial"/>
          <w:sz w:val="32"/>
          <w:szCs w:val="32"/>
        </w:rPr>
      </w:pPr>
      <w:r w:rsidRPr="005E3E24">
        <w:rPr>
          <w:rFonts w:ascii="Rockwell" w:hAnsi="Rockwell" w:cs="Arial"/>
          <w:sz w:val="32"/>
          <w:szCs w:val="32"/>
          <w:highlight w:val="yellow"/>
          <w:u w:val="single"/>
        </w:rPr>
        <w:t>B/TAUX RÉDUITS</w:t>
      </w:r>
    </w:p>
    <w:p w14:paraId="60316E30" w14:textId="77777777" w:rsidR="005E3E24" w:rsidRDefault="005E3E24" w:rsidP="005E3E24">
      <w:pPr>
        <w:jc w:val="both"/>
        <w:rPr>
          <w:rFonts w:ascii="Rockwell" w:hAnsi="Rockwell" w:cs="Arial"/>
          <w:sz w:val="32"/>
          <w:szCs w:val="32"/>
        </w:rPr>
      </w:pPr>
      <w:r>
        <w:rPr>
          <w:rFonts w:ascii="Rockwell" w:hAnsi="Rockwell" w:cs="Arial"/>
          <w:sz w:val="32"/>
          <w:szCs w:val="32"/>
        </w:rPr>
        <w:t xml:space="preserve">Pour les taux réduits, c’est très compliqué. </w:t>
      </w:r>
    </w:p>
    <w:p w14:paraId="635D0E76" w14:textId="77777777" w:rsidR="005E3E24" w:rsidRDefault="005E3E24" w:rsidP="005E3E24">
      <w:pPr>
        <w:jc w:val="both"/>
        <w:rPr>
          <w:rFonts w:ascii="Rockwell" w:hAnsi="Rockwell" w:cs="Arial"/>
          <w:sz w:val="32"/>
          <w:szCs w:val="32"/>
        </w:rPr>
      </w:pPr>
    </w:p>
    <w:p w14:paraId="0400BBB5" w14:textId="77777777" w:rsidR="005E3E24" w:rsidRDefault="005E3E24" w:rsidP="005E3E24">
      <w:pPr>
        <w:jc w:val="both"/>
        <w:rPr>
          <w:rFonts w:ascii="Rockwell" w:hAnsi="Rockwell" w:cs="Arial"/>
          <w:sz w:val="32"/>
          <w:szCs w:val="32"/>
        </w:rPr>
      </w:pPr>
      <w:r>
        <w:rPr>
          <w:rFonts w:ascii="Rockwell" w:hAnsi="Rockwell" w:cs="Arial"/>
          <w:sz w:val="32"/>
          <w:szCs w:val="32"/>
        </w:rPr>
        <w:t xml:space="preserve">Plusieurs États ont plusieurs taux réduits mais la plupart en ont deux. </w:t>
      </w:r>
    </w:p>
    <w:p w14:paraId="2B2DC561" w14:textId="77777777" w:rsidR="005E3E24" w:rsidRDefault="005E3E24" w:rsidP="005E3E24">
      <w:pPr>
        <w:jc w:val="both"/>
        <w:rPr>
          <w:rFonts w:ascii="Rockwell" w:hAnsi="Rockwell" w:cs="Arial"/>
          <w:sz w:val="32"/>
          <w:szCs w:val="32"/>
          <w:u w:val="single"/>
        </w:rPr>
      </w:pPr>
      <w:r w:rsidRPr="00132341">
        <w:rPr>
          <w:rFonts w:ascii="Rockwell" w:hAnsi="Rockwell" w:cs="Arial"/>
          <w:b/>
          <w:sz w:val="32"/>
          <w:szCs w:val="32"/>
          <w:u w:val="single"/>
        </w:rPr>
        <w:t>Seul le DK n’a pas de taux réduit</w:t>
      </w:r>
      <w:r w:rsidRPr="00132341">
        <w:rPr>
          <w:rFonts w:ascii="Rockwell" w:hAnsi="Rockwell" w:cs="Arial"/>
          <w:b/>
          <w:sz w:val="32"/>
          <w:szCs w:val="32"/>
        </w:rPr>
        <w:t>.</w:t>
      </w:r>
      <w:r>
        <w:rPr>
          <w:rFonts w:ascii="Rockwell" w:hAnsi="Rockwell" w:cs="Arial"/>
          <w:sz w:val="32"/>
          <w:szCs w:val="32"/>
        </w:rPr>
        <w:t xml:space="preserve"> Par conséquent, </w:t>
      </w:r>
      <w:r w:rsidRPr="00132341">
        <w:rPr>
          <w:rFonts w:ascii="Rockwell" w:hAnsi="Rockwell" w:cs="Arial"/>
          <w:sz w:val="32"/>
          <w:szCs w:val="32"/>
          <w:u w:val="single"/>
        </w:rPr>
        <w:t>27 États</w:t>
      </w:r>
      <w:r>
        <w:rPr>
          <w:rFonts w:ascii="Rockwell" w:hAnsi="Rockwell" w:cs="Arial"/>
          <w:sz w:val="32"/>
          <w:szCs w:val="32"/>
          <w:u w:val="single"/>
        </w:rPr>
        <w:t xml:space="preserve"> sur 28</w:t>
      </w:r>
      <w:r w:rsidRPr="00132341">
        <w:rPr>
          <w:rFonts w:ascii="Rockwell" w:hAnsi="Rockwell" w:cs="Arial"/>
          <w:sz w:val="32"/>
          <w:szCs w:val="32"/>
          <w:u w:val="single"/>
        </w:rPr>
        <w:t xml:space="preserve"> ont des taux réduits. </w:t>
      </w:r>
    </w:p>
    <w:p w14:paraId="15F9DDAD" w14:textId="77777777" w:rsidR="005E3E24" w:rsidRDefault="005E3E24" w:rsidP="005E3E24">
      <w:pPr>
        <w:jc w:val="both"/>
        <w:rPr>
          <w:rFonts w:ascii="Rockwell" w:hAnsi="Rockwell" w:cs="Arial"/>
          <w:sz w:val="32"/>
          <w:szCs w:val="32"/>
          <w:u w:val="single"/>
        </w:rPr>
      </w:pPr>
    </w:p>
    <w:p w14:paraId="2DB9FB9B" w14:textId="77777777" w:rsidR="005E3E24" w:rsidRDefault="005E3E24" w:rsidP="005E3E24">
      <w:pPr>
        <w:jc w:val="both"/>
        <w:rPr>
          <w:rFonts w:ascii="Rockwell" w:hAnsi="Rockwell" w:cs="Arial"/>
          <w:sz w:val="32"/>
          <w:szCs w:val="32"/>
        </w:rPr>
      </w:pPr>
      <w:r>
        <w:rPr>
          <w:rFonts w:ascii="Rockwell" w:hAnsi="Rockwell" w:cs="Arial"/>
          <w:sz w:val="32"/>
          <w:szCs w:val="32"/>
          <w:u w:val="single"/>
        </w:rPr>
        <w:t>Au sein des ces 27 Etats, 9 États n’</w:t>
      </w:r>
      <w:r w:rsidRPr="00132341">
        <w:rPr>
          <w:rFonts w:ascii="Rockwell" w:hAnsi="Rockwell" w:cs="Arial"/>
          <w:sz w:val="32"/>
          <w:szCs w:val="32"/>
          <w:u w:val="single"/>
        </w:rPr>
        <w:t>ont qu’un seul</w:t>
      </w:r>
      <w:r>
        <w:rPr>
          <w:rFonts w:ascii="Rockwell" w:hAnsi="Rockwell" w:cs="Arial"/>
          <w:sz w:val="32"/>
          <w:szCs w:val="32"/>
          <w:u w:val="single"/>
        </w:rPr>
        <w:t xml:space="preserve"> taux réduit :</w:t>
      </w:r>
      <w:r>
        <w:rPr>
          <w:rFonts w:ascii="Rockwell" w:hAnsi="Rockwell" w:cs="Arial"/>
          <w:sz w:val="32"/>
          <w:szCs w:val="32"/>
        </w:rPr>
        <w:t xml:space="preserve"> (Allemagne, Bulgarie, Espagne, Estonie, Luxembourg, Pays-Bas, RU, Slovaquie et Slovénie). </w:t>
      </w:r>
    </w:p>
    <w:p w14:paraId="52F64745" w14:textId="77777777" w:rsidR="005E3E24" w:rsidRDefault="005E3E24" w:rsidP="005E3E24">
      <w:pPr>
        <w:jc w:val="both"/>
        <w:rPr>
          <w:rFonts w:ascii="Rockwell" w:hAnsi="Rockwell" w:cs="Arial"/>
          <w:sz w:val="32"/>
          <w:szCs w:val="32"/>
        </w:rPr>
      </w:pPr>
    </w:p>
    <w:p w14:paraId="4D18F35D" w14:textId="77777777" w:rsidR="005E3E24" w:rsidRDefault="005E3E24" w:rsidP="005E3E24">
      <w:pPr>
        <w:jc w:val="both"/>
        <w:rPr>
          <w:rFonts w:ascii="Rockwell" w:hAnsi="Rockwell" w:cs="Arial"/>
          <w:sz w:val="32"/>
          <w:szCs w:val="32"/>
        </w:rPr>
      </w:pPr>
      <w:r>
        <w:rPr>
          <w:rFonts w:ascii="Rockwell" w:hAnsi="Rockwell" w:cs="Arial"/>
          <w:sz w:val="32"/>
          <w:szCs w:val="32"/>
        </w:rPr>
        <w:t xml:space="preserve">Les 18 autres pays ont 2 taux réduits : le premier qui est le plus élevé que l’on appellera le </w:t>
      </w:r>
      <w:r w:rsidRPr="00717CB5">
        <w:rPr>
          <w:rFonts w:ascii="Rockwell" w:hAnsi="Rockwell" w:cs="Arial"/>
          <w:sz w:val="32"/>
          <w:szCs w:val="32"/>
          <w:u w:val="single"/>
        </w:rPr>
        <w:t>taux intermédiaire</w:t>
      </w:r>
      <w:r>
        <w:rPr>
          <w:rFonts w:ascii="Rockwell" w:hAnsi="Rockwell" w:cs="Arial"/>
          <w:sz w:val="32"/>
          <w:szCs w:val="32"/>
        </w:rPr>
        <w:t xml:space="preserve"> et un second taux réduit plus petit. </w:t>
      </w:r>
    </w:p>
    <w:p w14:paraId="513D13B2" w14:textId="77777777" w:rsidR="005E3E24" w:rsidRDefault="005E3E24" w:rsidP="005E3E24">
      <w:pPr>
        <w:jc w:val="both"/>
        <w:rPr>
          <w:rFonts w:ascii="Rockwell" w:hAnsi="Rockwell" w:cs="Arial"/>
          <w:sz w:val="32"/>
          <w:szCs w:val="32"/>
        </w:rPr>
      </w:pPr>
    </w:p>
    <w:p w14:paraId="2F29767F" w14:textId="77777777" w:rsidR="005E3E24" w:rsidRDefault="005E3E24" w:rsidP="005E3E24">
      <w:pPr>
        <w:jc w:val="both"/>
        <w:rPr>
          <w:rFonts w:ascii="Rockwell" w:hAnsi="Rockwell" w:cs="Arial"/>
          <w:sz w:val="32"/>
          <w:szCs w:val="32"/>
        </w:rPr>
      </w:pPr>
      <w:r>
        <w:rPr>
          <w:rFonts w:ascii="Rockwell" w:hAnsi="Rockwell" w:cs="Arial"/>
          <w:sz w:val="32"/>
          <w:szCs w:val="32"/>
        </w:rPr>
        <w:t xml:space="preserve">Ces taux réduits portent sur la livraison de biens et services spécifiques fixés par l’annexe III de la Directive TVA. Mais dans la majorité des cas, ils ne s’appliquent pas aux services fournis par voie électronique. </w:t>
      </w:r>
    </w:p>
    <w:p w14:paraId="64B3B004" w14:textId="77777777" w:rsidR="005E3E24" w:rsidRDefault="005E3E24" w:rsidP="005E3E24">
      <w:pPr>
        <w:jc w:val="both"/>
        <w:rPr>
          <w:rFonts w:ascii="Rockwell" w:hAnsi="Rockwell" w:cs="Arial"/>
          <w:sz w:val="32"/>
          <w:szCs w:val="32"/>
        </w:rPr>
      </w:pPr>
    </w:p>
    <w:p w14:paraId="5C74670A" w14:textId="77777777" w:rsidR="005E3E24" w:rsidRDefault="005E3E24" w:rsidP="005E3E24">
      <w:pPr>
        <w:jc w:val="both"/>
        <w:rPr>
          <w:rFonts w:ascii="Rockwell" w:hAnsi="Rockwell" w:cs="Arial"/>
          <w:sz w:val="32"/>
          <w:szCs w:val="32"/>
        </w:rPr>
      </w:pPr>
      <w:r>
        <w:rPr>
          <w:rFonts w:ascii="Rockwell" w:hAnsi="Rockwell" w:cs="Arial"/>
          <w:sz w:val="32"/>
          <w:szCs w:val="32"/>
        </w:rPr>
        <w:t>Les taux réduits ne peuvent pas être inférieurs à un plancher de 5%.</w:t>
      </w:r>
    </w:p>
    <w:p w14:paraId="78A1BF73" w14:textId="77777777" w:rsidR="005E3E24" w:rsidRDefault="005E3E24" w:rsidP="005E3E24">
      <w:pPr>
        <w:jc w:val="both"/>
        <w:rPr>
          <w:rFonts w:ascii="Rockwell" w:hAnsi="Rockwell" w:cs="Arial"/>
          <w:b/>
          <w:sz w:val="32"/>
          <w:szCs w:val="32"/>
          <w:u w:val="single"/>
        </w:rPr>
      </w:pPr>
    </w:p>
    <w:p w14:paraId="703A904B" w14:textId="77777777" w:rsidR="008F178B" w:rsidRDefault="008F178B" w:rsidP="005E3E24">
      <w:pPr>
        <w:jc w:val="both"/>
        <w:rPr>
          <w:rFonts w:ascii="Rockwell" w:hAnsi="Rockwell" w:cs="Arial"/>
          <w:b/>
          <w:sz w:val="32"/>
          <w:szCs w:val="32"/>
          <w:u w:val="single"/>
        </w:rPr>
      </w:pPr>
    </w:p>
    <w:p w14:paraId="11BE6E48" w14:textId="77777777" w:rsidR="005E3E24" w:rsidRDefault="005E3E24" w:rsidP="005E3E24">
      <w:pPr>
        <w:jc w:val="both"/>
        <w:rPr>
          <w:rFonts w:ascii="Rockwell" w:hAnsi="Rockwell" w:cs="Arial"/>
          <w:sz w:val="32"/>
          <w:szCs w:val="32"/>
          <w:u w:val="single"/>
        </w:rPr>
      </w:pPr>
      <w:r w:rsidRPr="005E3E24">
        <w:rPr>
          <w:rFonts w:ascii="Rockwell" w:hAnsi="Rockwell" w:cs="Arial"/>
          <w:sz w:val="32"/>
          <w:szCs w:val="32"/>
          <w:highlight w:val="green"/>
          <w:u w:val="single"/>
        </w:rPr>
        <w:t>§1 Le taux intermédiaire : c’est le taux réduit le plus élevé :</w:t>
      </w:r>
    </w:p>
    <w:p w14:paraId="51997C53" w14:textId="77777777" w:rsidR="005E3E24" w:rsidRPr="008D57F3" w:rsidRDefault="005E3E24" w:rsidP="005E3E24">
      <w:pPr>
        <w:jc w:val="both"/>
        <w:rPr>
          <w:rFonts w:ascii="Rockwell" w:hAnsi="Rockwell" w:cs="Arial"/>
          <w:sz w:val="32"/>
          <w:szCs w:val="32"/>
          <w:u w:val="single"/>
        </w:rPr>
      </w:pPr>
    </w:p>
    <w:p w14:paraId="08435086" w14:textId="77777777" w:rsidR="005E3E24" w:rsidRDefault="005E3E24" w:rsidP="005E3E24">
      <w:pPr>
        <w:jc w:val="both"/>
        <w:rPr>
          <w:rFonts w:ascii="Rockwell" w:hAnsi="Rockwell" w:cs="Arial"/>
          <w:b/>
          <w:sz w:val="32"/>
          <w:szCs w:val="32"/>
          <w:u w:val="single"/>
        </w:rPr>
      </w:pPr>
      <w:r w:rsidRPr="0029072D">
        <w:rPr>
          <w:rFonts w:ascii="Rockwell" w:hAnsi="Rockwell" w:cs="Arial"/>
          <w:b/>
          <w:sz w:val="32"/>
          <w:szCs w:val="32"/>
          <w:u w:val="single"/>
        </w:rPr>
        <w:t>Sur les 27 États membres de l’UE</w:t>
      </w:r>
      <w:r>
        <w:rPr>
          <w:rFonts w:ascii="Rockwell" w:hAnsi="Rockwell" w:cs="Arial"/>
          <w:b/>
          <w:sz w:val="32"/>
          <w:szCs w:val="32"/>
          <w:u w:val="single"/>
        </w:rPr>
        <w:t xml:space="preserve"> qui ont un taux intermédiaire, </w:t>
      </w:r>
    </w:p>
    <w:p w14:paraId="1974EC64" w14:textId="77777777" w:rsidR="005E3E24" w:rsidRDefault="005E3E24" w:rsidP="005E3E24">
      <w:pPr>
        <w:jc w:val="both"/>
        <w:rPr>
          <w:rFonts w:ascii="Rockwell" w:hAnsi="Rockwell" w:cs="Arial"/>
          <w:b/>
          <w:sz w:val="32"/>
          <w:szCs w:val="32"/>
          <w:u w:val="single"/>
        </w:rPr>
      </w:pPr>
      <w:r>
        <w:rPr>
          <w:rFonts w:ascii="Rockwell" w:hAnsi="Rockwell" w:cs="Arial"/>
          <w:b/>
          <w:sz w:val="32"/>
          <w:szCs w:val="32"/>
          <w:u w:val="single"/>
        </w:rPr>
        <w:t>15</w:t>
      </w:r>
      <w:r w:rsidRPr="0029072D">
        <w:rPr>
          <w:rFonts w:ascii="Rockwell" w:hAnsi="Rockwell" w:cs="Arial"/>
          <w:b/>
          <w:sz w:val="32"/>
          <w:szCs w:val="32"/>
          <w:u w:val="single"/>
        </w:rPr>
        <w:t xml:space="preserve"> ont de</w:t>
      </w:r>
      <w:r>
        <w:rPr>
          <w:rFonts w:ascii="Rockwell" w:hAnsi="Rockwell" w:cs="Arial"/>
          <w:b/>
          <w:sz w:val="32"/>
          <w:szCs w:val="32"/>
          <w:u w:val="single"/>
        </w:rPr>
        <w:t>s taux supérieurs</w:t>
      </w:r>
      <w:r w:rsidRPr="0029072D">
        <w:rPr>
          <w:rFonts w:ascii="Rockwell" w:hAnsi="Rockwell" w:cs="Arial"/>
          <w:b/>
          <w:sz w:val="32"/>
          <w:szCs w:val="32"/>
          <w:u w:val="single"/>
        </w:rPr>
        <w:t xml:space="preserve"> ou égaux à 10% </w:t>
      </w:r>
    </w:p>
    <w:p w14:paraId="359D6549" w14:textId="77777777" w:rsidR="005E3E24" w:rsidRDefault="005E3E24" w:rsidP="005E3E24">
      <w:pPr>
        <w:jc w:val="both"/>
        <w:rPr>
          <w:rFonts w:ascii="Rockwell" w:hAnsi="Rockwell" w:cs="Arial"/>
          <w:b/>
          <w:sz w:val="32"/>
          <w:szCs w:val="32"/>
          <w:u w:val="single"/>
        </w:rPr>
      </w:pPr>
      <w:r w:rsidRPr="0029072D">
        <w:rPr>
          <w:rFonts w:ascii="Rockwell" w:hAnsi="Rockwell" w:cs="Arial"/>
          <w:b/>
          <w:sz w:val="32"/>
          <w:szCs w:val="32"/>
          <w:u w:val="single"/>
        </w:rPr>
        <w:t>et 12 États en dessous de 10%.</w:t>
      </w:r>
    </w:p>
    <w:p w14:paraId="72437AC2" w14:textId="77777777" w:rsidR="005E3E24" w:rsidRDefault="005E3E24" w:rsidP="005E3E24">
      <w:pPr>
        <w:jc w:val="both"/>
        <w:rPr>
          <w:rFonts w:ascii="Rockwell" w:hAnsi="Rockwell" w:cs="Arial"/>
          <w:b/>
          <w:sz w:val="32"/>
          <w:szCs w:val="32"/>
          <w:u w:val="single"/>
        </w:rPr>
      </w:pPr>
    </w:p>
    <w:p w14:paraId="21C94B21" w14:textId="77777777" w:rsidR="008F178B" w:rsidRDefault="008F178B" w:rsidP="005E3E24">
      <w:pPr>
        <w:jc w:val="both"/>
        <w:rPr>
          <w:rFonts w:ascii="Rockwell" w:hAnsi="Rockwell" w:cs="Arial"/>
          <w:b/>
          <w:sz w:val="32"/>
          <w:szCs w:val="32"/>
          <w:u w:val="single"/>
        </w:rPr>
      </w:pPr>
    </w:p>
    <w:p w14:paraId="42540522" w14:textId="77777777" w:rsidR="005E3E24" w:rsidRPr="00132341" w:rsidRDefault="005E3E24" w:rsidP="008F178B">
      <w:pPr>
        <w:shd w:val="clear" w:color="auto" w:fill="FFC000"/>
        <w:jc w:val="both"/>
        <w:rPr>
          <w:rFonts w:ascii="Rockwell" w:hAnsi="Rockwell" w:cs="Arial"/>
          <w:sz w:val="32"/>
          <w:szCs w:val="32"/>
          <w:u w:val="single"/>
        </w:rPr>
      </w:pPr>
      <w:r>
        <w:rPr>
          <w:rFonts w:ascii="Rockwell" w:hAnsi="Rockwell" w:cs="Arial"/>
          <w:sz w:val="32"/>
          <w:szCs w:val="32"/>
          <w:u w:val="single"/>
        </w:rPr>
        <w:t>a) 11</w:t>
      </w:r>
      <w:r w:rsidRPr="00132341">
        <w:rPr>
          <w:rFonts w:ascii="Rockwell" w:hAnsi="Rockwell" w:cs="Arial"/>
          <w:sz w:val="32"/>
          <w:szCs w:val="32"/>
          <w:u w:val="single"/>
        </w:rPr>
        <w:t xml:space="preserve"> États ont un taux </w:t>
      </w:r>
      <w:r>
        <w:rPr>
          <w:rFonts w:ascii="Rockwell" w:hAnsi="Rockwell" w:cs="Arial"/>
          <w:sz w:val="32"/>
          <w:szCs w:val="32"/>
          <w:u w:val="single"/>
        </w:rPr>
        <w:t xml:space="preserve"> intermédiaire </w:t>
      </w:r>
      <w:r w:rsidRPr="00132341">
        <w:rPr>
          <w:rFonts w:ascii="Rockwell" w:hAnsi="Rockwell" w:cs="Arial"/>
          <w:sz w:val="32"/>
          <w:szCs w:val="32"/>
          <w:u w:val="single"/>
        </w:rPr>
        <w:t>supérieur à 10%</w:t>
      </w:r>
    </w:p>
    <w:p w14:paraId="2C55C285" w14:textId="77777777" w:rsidR="005E3E24" w:rsidRDefault="005E3E24" w:rsidP="005E3E24">
      <w:pPr>
        <w:jc w:val="both"/>
        <w:rPr>
          <w:rFonts w:ascii="Rockwell" w:hAnsi="Rockwell" w:cs="Arial"/>
          <w:sz w:val="32"/>
          <w:szCs w:val="32"/>
        </w:rPr>
      </w:pPr>
      <w:r>
        <w:rPr>
          <w:rFonts w:ascii="Rockwell" w:hAnsi="Rockwell" w:cs="Arial"/>
          <w:sz w:val="32"/>
          <w:szCs w:val="32"/>
        </w:rPr>
        <w:t>18% pour la Hongrie qui est la championne d’Europe.</w:t>
      </w:r>
    </w:p>
    <w:p w14:paraId="711421A2" w14:textId="77777777" w:rsidR="005E3E24" w:rsidRDefault="005E3E24" w:rsidP="005E3E24">
      <w:pPr>
        <w:jc w:val="both"/>
        <w:rPr>
          <w:rFonts w:ascii="Rockwell" w:hAnsi="Rockwell" w:cs="Arial"/>
          <w:sz w:val="32"/>
          <w:szCs w:val="32"/>
        </w:rPr>
      </w:pPr>
      <w:r>
        <w:rPr>
          <w:rFonts w:ascii="Rockwell" w:hAnsi="Rockwell" w:cs="Arial"/>
          <w:sz w:val="32"/>
          <w:szCs w:val="32"/>
        </w:rPr>
        <w:t>15% en République Tchèque</w:t>
      </w:r>
    </w:p>
    <w:p w14:paraId="2C5B4255" w14:textId="77777777" w:rsidR="005E3E24" w:rsidRDefault="005E3E24" w:rsidP="005E3E24">
      <w:pPr>
        <w:jc w:val="both"/>
        <w:rPr>
          <w:rFonts w:ascii="Rockwell" w:hAnsi="Rockwell" w:cs="Arial"/>
          <w:sz w:val="32"/>
          <w:szCs w:val="32"/>
        </w:rPr>
      </w:pPr>
      <w:r>
        <w:rPr>
          <w:rFonts w:ascii="Rockwell" w:hAnsi="Rockwell" w:cs="Arial"/>
          <w:sz w:val="32"/>
          <w:szCs w:val="32"/>
        </w:rPr>
        <w:t>14% en Finlande</w:t>
      </w:r>
    </w:p>
    <w:p w14:paraId="440C81BB" w14:textId="77777777" w:rsidR="005E3E24" w:rsidRDefault="005E3E24" w:rsidP="005E3E24">
      <w:pPr>
        <w:jc w:val="both"/>
        <w:rPr>
          <w:rFonts w:ascii="Rockwell" w:hAnsi="Rockwell" w:cs="Arial"/>
          <w:sz w:val="32"/>
          <w:szCs w:val="32"/>
        </w:rPr>
      </w:pPr>
      <w:r>
        <w:rPr>
          <w:rFonts w:ascii="Rockwell" w:hAnsi="Rockwell" w:cs="Arial"/>
          <w:sz w:val="32"/>
          <w:szCs w:val="32"/>
        </w:rPr>
        <w:t>13,5% en Irlande</w:t>
      </w:r>
    </w:p>
    <w:p w14:paraId="2ED9CE62" w14:textId="77777777" w:rsidR="005E3E24" w:rsidRDefault="005E3E24" w:rsidP="005E3E24">
      <w:pPr>
        <w:jc w:val="both"/>
        <w:rPr>
          <w:rFonts w:ascii="Rockwell" w:hAnsi="Rockwell" w:cs="Arial"/>
          <w:sz w:val="32"/>
          <w:szCs w:val="32"/>
        </w:rPr>
      </w:pPr>
      <w:r>
        <w:rPr>
          <w:rFonts w:ascii="Rockwell" w:hAnsi="Rockwell" w:cs="Arial"/>
          <w:sz w:val="32"/>
          <w:szCs w:val="32"/>
        </w:rPr>
        <w:t>13% Autriche, Croatie, Grèce et Portugal</w:t>
      </w:r>
    </w:p>
    <w:p w14:paraId="74CF4B35" w14:textId="77777777" w:rsidR="005E3E24" w:rsidRDefault="005E3E24" w:rsidP="005E3E24">
      <w:pPr>
        <w:jc w:val="both"/>
        <w:rPr>
          <w:rFonts w:ascii="Rockwell" w:hAnsi="Rockwell" w:cs="Arial"/>
          <w:sz w:val="32"/>
          <w:szCs w:val="32"/>
        </w:rPr>
      </w:pPr>
      <w:r>
        <w:rPr>
          <w:rFonts w:ascii="Rockwell" w:hAnsi="Rockwell" w:cs="Arial"/>
          <w:sz w:val="32"/>
          <w:szCs w:val="32"/>
        </w:rPr>
        <w:t xml:space="preserve">Au Portugal, ce taux a été jugé insuffisant par le gouvernement qui a fait voter en 2020 un relèvement du taux sur certaines activités interdites dans de nombreux États membres pour lesquelles le taux de TVA passe du taux intermédiaire à 13% au taux normal à 23%(soit +10%) : activités de tauromachie, droits d’entrée dans les musées, les zoos, les jardins botaniques et les aquariums. </w:t>
      </w:r>
    </w:p>
    <w:p w14:paraId="4F8526A4" w14:textId="77777777" w:rsidR="005E3E24" w:rsidRDefault="005E3E24" w:rsidP="005E3E24">
      <w:pPr>
        <w:jc w:val="both"/>
        <w:rPr>
          <w:rFonts w:ascii="Rockwell" w:hAnsi="Rockwell" w:cs="Arial"/>
          <w:sz w:val="32"/>
          <w:szCs w:val="32"/>
        </w:rPr>
      </w:pPr>
    </w:p>
    <w:p w14:paraId="42283B1E" w14:textId="77777777" w:rsidR="005E3E24" w:rsidRDefault="005E3E24" w:rsidP="005E3E24">
      <w:pPr>
        <w:jc w:val="both"/>
        <w:rPr>
          <w:rFonts w:ascii="Rockwell" w:hAnsi="Rockwell" w:cs="Arial"/>
          <w:sz w:val="32"/>
          <w:szCs w:val="32"/>
        </w:rPr>
      </w:pPr>
      <w:r>
        <w:rPr>
          <w:rFonts w:ascii="Rockwell" w:hAnsi="Rockwell" w:cs="Arial"/>
          <w:sz w:val="32"/>
          <w:szCs w:val="32"/>
        </w:rPr>
        <w:t>Les 3 derniers États européens sont :</w:t>
      </w:r>
    </w:p>
    <w:p w14:paraId="1C70CA10" w14:textId="77777777" w:rsidR="005E3E24" w:rsidRDefault="005E3E24" w:rsidP="005E3E24">
      <w:pPr>
        <w:jc w:val="both"/>
        <w:rPr>
          <w:rFonts w:ascii="Rockwell" w:hAnsi="Rockwell" w:cs="Arial"/>
          <w:sz w:val="32"/>
          <w:szCs w:val="32"/>
        </w:rPr>
      </w:pPr>
      <w:r>
        <w:rPr>
          <w:rFonts w:ascii="Rockwell" w:hAnsi="Rockwell" w:cs="Arial"/>
          <w:sz w:val="32"/>
          <w:szCs w:val="32"/>
        </w:rPr>
        <w:t>12% Belgique, Lettonie et Suède</w:t>
      </w:r>
    </w:p>
    <w:p w14:paraId="2E048B53" w14:textId="77777777" w:rsidR="005E3E24" w:rsidRPr="0053733A" w:rsidRDefault="005E3E24" w:rsidP="005E3E24">
      <w:pPr>
        <w:jc w:val="both"/>
        <w:rPr>
          <w:rFonts w:ascii="Rockwell" w:hAnsi="Rockwell" w:cs="Arial"/>
          <w:b/>
          <w:color w:val="FF0000"/>
          <w:sz w:val="32"/>
          <w:szCs w:val="32"/>
          <w:u w:val="single"/>
        </w:rPr>
      </w:pPr>
      <w:r w:rsidRPr="0053733A">
        <w:rPr>
          <w:rFonts w:ascii="Rockwell" w:hAnsi="Rockwell" w:cs="Arial"/>
          <w:b/>
          <w:color w:val="FF0000"/>
          <w:sz w:val="32"/>
          <w:szCs w:val="32"/>
          <w:u w:val="single"/>
        </w:rPr>
        <w:t>En moyenne, le taux intermédiaire des 27 est de 10,3%.</w:t>
      </w:r>
    </w:p>
    <w:p w14:paraId="7F61BBE0" w14:textId="77777777" w:rsidR="005E3E24" w:rsidRDefault="005E3E24" w:rsidP="005E3E24">
      <w:pPr>
        <w:jc w:val="both"/>
        <w:rPr>
          <w:rFonts w:ascii="Rockwell" w:hAnsi="Rockwell" w:cs="Arial"/>
          <w:sz w:val="32"/>
          <w:szCs w:val="32"/>
          <w:u w:val="single"/>
        </w:rPr>
      </w:pPr>
    </w:p>
    <w:p w14:paraId="63718093" w14:textId="77777777" w:rsidR="005E3E24" w:rsidRPr="00757189" w:rsidRDefault="005E3E24" w:rsidP="008F178B">
      <w:pPr>
        <w:shd w:val="clear" w:color="auto" w:fill="FFC000"/>
        <w:jc w:val="both"/>
        <w:rPr>
          <w:rFonts w:ascii="Rockwell" w:hAnsi="Rockwell" w:cs="Arial"/>
          <w:sz w:val="32"/>
          <w:szCs w:val="32"/>
          <w:u w:val="single"/>
        </w:rPr>
      </w:pPr>
      <w:r>
        <w:rPr>
          <w:rFonts w:ascii="Rockwell" w:hAnsi="Rockwell" w:cs="Arial"/>
          <w:sz w:val="32"/>
          <w:szCs w:val="32"/>
          <w:u w:val="single"/>
        </w:rPr>
        <w:t>b) 10% On trouve 4 États aya</w:t>
      </w:r>
      <w:r w:rsidRPr="00757189">
        <w:rPr>
          <w:rFonts w:ascii="Rockwell" w:hAnsi="Rockwell" w:cs="Arial"/>
          <w:sz w:val="32"/>
          <w:szCs w:val="32"/>
          <w:u w:val="single"/>
        </w:rPr>
        <w:t xml:space="preserve">nt un taux </w:t>
      </w:r>
      <w:r>
        <w:rPr>
          <w:rFonts w:ascii="Rockwell" w:hAnsi="Rockwell" w:cs="Arial"/>
          <w:sz w:val="32"/>
          <w:szCs w:val="32"/>
          <w:u w:val="single"/>
        </w:rPr>
        <w:t>intermédiaire</w:t>
      </w:r>
      <w:r w:rsidRPr="00757189">
        <w:rPr>
          <w:rFonts w:ascii="Rockwell" w:hAnsi="Rockwell" w:cs="Arial"/>
          <w:sz w:val="32"/>
          <w:szCs w:val="32"/>
          <w:u w:val="single"/>
        </w:rPr>
        <w:t xml:space="preserve"> </w:t>
      </w:r>
      <w:r>
        <w:rPr>
          <w:rFonts w:ascii="Rockwell" w:hAnsi="Rockwell" w:cs="Arial"/>
          <w:sz w:val="32"/>
          <w:szCs w:val="32"/>
          <w:u w:val="single"/>
        </w:rPr>
        <w:t>juste à</w:t>
      </w:r>
      <w:r w:rsidRPr="00757189">
        <w:rPr>
          <w:rFonts w:ascii="Rockwell" w:hAnsi="Rockwell" w:cs="Arial"/>
          <w:sz w:val="32"/>
          <w:szCs w:val="32"/>
          <w:u w:val="single"/>
        </w:rPr>
        <w:t xml:space="preserve"> 10% : </w:t>
      </w:r>
    </w:p>
    <w:p w14:paraId="145E7F84" w14:textId="77777777" w:rsidR="005E3E24" w:rsidRDefault="005E3E24" w:rsidP="005E3E24">
      <w:pPr>
        <w:jc w:val="both"/>
        <w:rPr>
          <w:rFonts w:ascii="Rockwell" w:hAnsi="Rockwell" w:cs="Arial"/>
          <w:sz w:val="32"/>
          <w:szCs w:val="32"/>
        </w:rPr>
      </w:pPr>
      <w:r w:rsidRPr="00757189">
        <w:rPr>
          <w:rFonts w:ascii="Rockwell" w:hAnsi="Rockwell" w:cs="Arial"/>
          <w:b/>
          <w:sz w:val="32"/>
          <w:szCs w:val="32"/>
        </w:rPr>
        <w:t>Espagne</w:t>
      </w:r>
      <w:r>
        <w:rPr>
          <w:rFonts w:ascii="Rockwell" w:hAnsi="Rockwell" w:cs="Arial"/>
          <w:sz w:val="32"/>
          <w:szCs w:val="32"/>
        </w:rPr>
        <w:t xml:space="preserve">, France, Italie et </w:t>
      </w:r>
      <w:r w:rsidRPr="00757189">
        <w:rPr>
          <w:rFonts w:ascii="Rockwell" w:hAnsi="Rockwell" w:cs="Arial"/>
          <w:b/>
          <w:sz w:val="32"/>
          <w:szCs w:val="32"/>
        </w:rPr>
        <w:t>Slovaquie</w:t>
      </w:r>
      <w:r>
        <w:rPr>
          <w:rFonts w:ascii="Rockwell" w:hAnsi="Rockwell" w:cs="Arial"/>
          <w:sz w:val="32"/>
          <w:szCs w:val="32"/>
        </w:rPr>
        <w:t>.</w:t>
      </w:r>
    </w:p>
    <w:p w14:paraId="084EA4F4" w14:textId="77777777" w:rsidR="005E3E24" w:rsidRDefault="005E3E24" w:rsidP="005E3E24">
      <w:pPr>
        <w:jc w:val="both"/>
        <w:rPr>
          <w:rFonts w:ascii="Rockwell" w:hAnsi="Rockwell" w:cs="Arial"/>
          <w:sz w:val="32"/>
          <w:szCs w:val="32"/>
        </w:rPr>
      </w:pPr>
    </w:p>
    <w:p w14:paraId="4C1AC862" w14:textId="77777777" w:rsidR="005E3E24" w:rsidRPr="00757189" w:rsidRDefault="005E3E24" w:rsidP="008F178B">
      <w:pPr>
        <w:shd w:val="clear" w:color="auto" w:fill="FFC000"/>
        <w:jc w:val="both"/>
        <w:rPr>
          <w:rFonts w:ascii="Rockwell" w:hAnsi="Rockwell" w:cs="Arial"/>
          <w:sz w:val="32"/>
          <w:szCs w:val="32"/>
          <w:u w:val="single"/>
        </w:rPr>
      </w:pPr>
      <w:r>
        <w:rPr>
          <w:rFonts w:ascii="Rockwell" w:hAnsi="Rockwell" w:cs="Arial"/>
          <w:sz w:val="32"/>
          <w:szCs w:val="32"/>
          <w:u w:val="single"/>
        </w:rPr>
        <w:t xml:space="preserve">c) </w:t>
      </w:r>
      <w:r w:rsidRPr="00757189">
        <w:rPr>
          <w:rFonts w:ascii="Rockwell" w:hAnsi="Rockwell" w:cs="Arial"/>
          <w:sz w:val="32"/>
          <w:szCs w:val="32"/>
          <w:u w:val="single"/>
        </w:rPr>
        <w:t xml:space="preserve">12 États ont un </w:t>
      </w:r>
      <w:r>
        <w:rPr>
          <w:rFonts w:ascii="Rockwell" w:hAnsi="Rockwell" w:cs="Arial"/>
          <w:sz w:val="32"/>
          <w:szCs w:val="32"/>
          <w:u w:val="single"/>
        </w:rPr>
        <w:t>taux intermédiaire</w:t>
      </w:r>
      <w:r w:rsidRPr="00757189">
        <w:rPr>
          <w:rFonts w:ascii="Rockwell" w:hAnsi="Rockwell" w:cs="Arial"/>
          <w:sz w:val="32"/>
          <w:szCs w:val="32"/>
          <w:u w:val="single"/>
        </w:rPr>
        <w:t xml:space="preserve"> inférieur à 10% :</w:t>
      </w:r>
    </w:p>
    <w:p w14:paraId="3A8623BB" w14:textId="77777777" w:rsidR="005E3E24" w:rsidRDefault="005E3E24" w:rsidP="005E3E24">
      <w:pPr>
        <w:jc w:val="both"/>
        <w:rPr>
          <w:rFonts w:ascii="Rockwell" w:hAnsi="Rockwell" w:cs="Arial"/>
          <w:sz w:val="32"/>
          <w:szCs w:val="32"/>
        </w:rPr>
      </w:pPr>
      <w:r>
        <w:rPr>
          <w:rFonts w:ascii="Rockwell" w:hAnsi="Rockwell" w:cs="Arial"/>
          <w:sz w:val="32"/>
          <w:szCs w:val="32"/>
        </w:rPr>
        <w:t xml:space="preserve">9,5% pour la </w:t>
      </w:r>
      <w:r w:rsidRPr="00757189">
        <w:rPr>
          <w:rFonts w:ascii="Rockwell" w:hAnsi="Rockwell" w:cs="Arial"/>
          <w:b/>
          <w:sz w:val="32"/>
          <w:szCs w:val="32"/>
        </w:rPr>
        <w:t>Slovénie</w:t>
      </w:r>
    </w:p>
    <w:p w14:paraId="47158564" w14:textId="77777777" w:rsidR="005E3E24" w:rsidRDefault="005E3E24" w:rsidP="005E3E24">
      <w:pPr>
        <w:jc w:val="both"/>
        <w:rPr>
          <w:rFonts w:ascii="Rockwell" w:hAnsi="Rockwell" w:cs="Arial"/>
          <w:sz w:val="32"/>
          <w:szCs w:val="32"/>
        </w:rPr>
      </w:pPr>
      <w:r>
        <w:rPr>
          <w:rFonts w:ascii="Rockwell" w:hAnsi="Rockwell" w:cs="Arial"/>
          <w:sz w:val="32"/>
          <w:szCs w:val="32"/>
        </w:rPr>
        <w:t xml:space="preserve">9% pour la </w:t>
      </w:r>
      <w:r w:rsidRPr="00757189">
        <w:rPr>
          <w:rFonts w:ascii="Rockwell" w:hAnsi="Rockwell" w:cs="Arial"/>
          <w:b/>
          <w:sz w:val="32"/>
          <w:szCs w:val="32"/>
        </w:rPr>
        <w:t>Bulgarie</w:t>
      </w:r>
      <w:r>
        <w:rPr>
          <w:rFonts w:ascii="Rockwell" w:hAnsi="Rockwell" w:cs="Arial"/>
          <w:sz w:val="32"/>
          <w:szCs w:val="32"/>
        </w:rPr>
        <w:t xml:space="preserve">, Chypre, </w:t>
      </w:r>
      <w:r w:rsidRPr="00757189">
        <w:rPr>
          <w:rFonts w:ascii="Rockwell" w:hAnsi="Rockwell" w:cs="Arial"/>
          <w:b/>
          <w:sz w:val="32"/>
          <w:szCs w:val="32"/>
        </w:rPr>
        <w:t>Estonie</w:t>
      </w:r>
      <w:r>
        <w:rPr>
          <w:rFonts w:ascii="Rockwell" w:hAnsi="Rockwell" w:cs="Arial"/>
          <w:sz w:val="32"/>
          <w:szCs w:val="32"/>
        </w:rPr>
        <w:t xml:space="preserve">, Lituanie, Roumanie et </w:t>
      </w:r>
      <w:r w:rsidRPr="00757189">
        <w:rPr>
          <w:rFonts w:ascii="Rockwell" w:hAnsi="Rockwell" w:cs="Arial"/>
          <w:b/>
          <w:sz w:val="32"/>
          <w:szCs w:val="32"/>
        </w:rPr>
        <w:t>PB</w:t>
      </w:r>
      <w:r>
        <w:rPr>
          <w:rFonts w:ascii="Rockwell" w:hAnsi="Rockwell" w:cs="Arial"/>
          <w:sz w:val="32"/>
          <w:szCs w:val="32"/>
        </w:rPr>
        <w:t>.</w:t>
      </w:r>
    </w:p>
    <w:p w14:paraId="1FAB199C" w14:textId="77777777" w:rsidR="005E3E24" w:rsidRDefault="005E3E24" w:rsidP="005E3E24">
      <w:pPr>
        <w:jc w:val="both"/>
        <w:rPr>
          <w:rFonts w:ascii="Rockwell" w:hAnsi="Rockwell" w:cs="Arial"/>
          <w:sz w:val="32"/>
          <w:szCs w:val="32"/>
        </w:rPr>
      </w:pPr>
      <w:r>
        <w:rPr>
          <w:rFonts w:ascii="Rockwell" w:hAnsi="Rockwell" w:cs="Arial"/>
          <w:sz w:val="32"/>
          <w:szCs w:val="32"/>
        </w:rPr>
        <w:t xml:space="preserve">8% pour la Pologne et le </w:t>
      </w:r>
      <w:r w:rsidRPr="00757189">
        <w:rPr>
          <w:rFonts w:ascii="Rockwell" w:hAnsi="Rockwell" w:cs="Arial"/>
          <w:b/>
          <w:sz w:val="32"/>
          <w:szCs w:val="32"/>
        </w:rPr>
        <w:t>Luxembourg</w:t>
      </w:r>
      <w:r>
        <w:rPr>
          <w:rFonts w:ascii="Rockwell" w:hAnsi="Rockwell" w:cs="Arial"/>
          <w:sz w:val="32"/>
          <w:szCs w:val="32"/>
        </w:rPr>
        <w:t>.</w:t>
      </w:r>
    </w:p>
    <w:p w14:paraId="020225B4" w14:textId="77777777" w:rsidR="005E3E24" w:rsidRDefault="005E3E24" w:rsidP="005E3E24">
      <w:pPr>
        <w:jc w:val="both"/>
        <w:rPr>
          <w:rFonts w:ascii="Rockwell" w:hAnsi="Rockwell" w:cs="Arial"/>
          <w:sz w:val="32"/>
          <w:szCs w:val="32"/>
        </w:rPr>
      </w:pPr>
      <w:r>
        <w:rPr>
          <w:rFonts w:ascii="Rockwell" w:hAnsi="Rockwell" w:cs="Arial"/>
          <w:sz w:val="32"/>
          <w:szCs w:val="32"/>
        </w:rPr>
        <w:t xml:space="preserve">7% pour </w:t>
      </w:r>
      <w:r w:rsidRPr="00757189">
        <w:rPr>
          <w:rFonts w:ascii="Rockwell" w:hAnsi="Rockwell" w:cs="Arial"/>
          <w:b/>
          <w:sz w:val="32"/>
          <w:szCs w:val="32"/>
        </w:rPr>
        <w:t>l’Allemagne</w:t>
      </w:r>
      <w:r>
        <w:rPr>
          <w:rFonts w:ascii="Rockwell" w:hAnsi="Rockwell" w:cs="Arial"/>
          <w:sz w:val="32"/>
          <w:szCs w:val="32"/>
        </w:rPr>
        <w:t xml:space="preserve"> et Malte. </w:t>
      </w:r>
    </w:p>
    <w:p w14:paraId="276D2E6D" w14:textId="77777777" w:rsidR="005E3E24" w:rsidRDefault="005E3E24" w:rsidP="005E3E24">
      <w:pPr>
        <w:jc w:val="both"/>
        <w:rPr>
          <w:rFonts w:ascii="Rockwell" w:hAnsi="Rockwell" w:cs="Arial"/>
          <w:sz w:val="32"/>
          <w:szCs w:val="32"/>
        </w:rPr>
      </w:pPr>
      <w:r>
        <w:rPr>
          <w:rFonts w:ascii="Rockwell" w:hAnsi="Rockwell" w:cs="Arial"/>
          <w:sz w:val="32"/>
          <w:szCs w:val="32"/>
        </w:rPr>
        <w:t xml:space="preserve">5% pour le </w:t>
      </w:r>
      <w:r w:rsidRPr="00757189">
        <w:rPr>
          <w:rFonts w:ascii="Rockwell" w:hAnsi="Rockwell" w:cs="Arial"/>
          <w:b/>
          <w:sz w:val="32"/>
          <w:szCs w:val="32"/>
        </w:rPr>
        <w:t>Royaume-Uni</w:t>
      </w:r>
      <w:r>
        <w:rPr>
          <w:rFonts w:ascii="Rockwell" w:hAnsi="Rockwell" w:cs="Arial"/>
          <w:sz w:val="32"/>
          <w:szCs w:val="32"/>
        </w:rPr>
        <w:t>.</w:t>
      </w:r>
    </w:p>
    <w:p w14:paraId="229AE2BE" w14:textId="77777777" w:rsidR="005E3E24" w:rsidRDefault="005E3E24" w:rsidP="005E3E24">
      <w:pPr>
        <w:jc w:val="both"/>
        <w:rPr>
          <w:rFonts w:ascii="Rockwell" w:hAnsi="Rockwell" w:cs="Arial"/>
          <w:sz w:val="32"/>
          <w:szCs w:val="32"/>
        </w:rPr>
      </w:pPr>
    </w:p>
    <w:p w14:paraId="2AF96705" w14:textId="77777777" w:rsidR="005E3E24" w:rsidRDefault="005E3E24" w:rsidP="005E3E24">
      <w:pPr>
        <w:jc w:val="both"/>
        <w:rPr>
          <w:rFonts w:ascii="Rockwell" w:hAnsi="Rockwell" w:cs="Arial"/>
          <w:sz w:val="32"/>
          <w:szCs w:val="32"/>
        </w:rPr>
      </w:pPr>
      <w:r>
        <w:rPr>
          <w:rFonts w:ascii="Rockwell" w:hAnsi="Rockwell" w:cs="Arial"/>
          <w:sz w:val="32"/>
          <w:szCs w:val="32"/>
        </w:rPr>
        <w:t xml:space="preserve">Voilà pour le taux intermédiaire. On ne compliquera pas pour détailler l’assiette car on en parlera dans la section 2 concernant la France. </w:t>
      </w:r>
    </w:p>
    <w:p w14:paraId="3CF1F60C" w14:textId="77777777" w:rsidR="005E3E24" w:rsidRDefault="005E3E24" w:rsidP="005E3E24">
      <w:pPr>
        <w:jc w:val="both"/>
        <w:rPr>
          <w:rFonts w:ascii="Rockwell" w:hAnsi="Rockwell" w:cs="Arial"/>
          <w:sz w:val="32"/>
          <w:szCs w:val="32"/>
        </w:rPr>
      </w:pPr>
    </w:p>
    <w:p w14:paraId="2978EBEC" w14:textId="77777777" w:rsidR="008F178B" w:rsidRDefault="008F178B" w:rsidP="005E3E24">
      <w:pPr>
        <w:jc w:val="both"/>
        <w:rPr>
          <w:rFonts w:ascii="Rockwell" w:hAnsi="Rockwell" w:cs="Arial"/>
          <w:sz w:val="32"/>
          <w:szCs w:val="32"/>
        </w:rPr>
      </w:pPr>
    </w:p>
    <w:p w14:paraId="1EFF941A" w14:textId="77777777" w:rsidR="005E3E24" w:rsidRDefault="005E3E24" w:rsidP="005E3E24">
      <w:pPr>
        <w:jc w:val="both"/>
        <w:rPr>
          <w:rFonts w:ascii="Rockwell" w:hAnsi="Rockwell" w:cs="Arial"/>
          <w:sz w:val="32"/>
          <w:szCs w:val="32"/>
        </w:rPr>
      </w:pPr>
      <w:r w:rsidRPr="005E3E24">
        <w:rPr>
          <w:rFonts w:ascii="Rockwell" w:hAnsi="Rockwell" w:cs="Arial"/>
          <w:sz w:val="32"/>
          <w:szCs w:val="32"/>
          <w:highlight w:val="green"/>
        </w:rPr>
        <w:t>§2 Le taux réduit le moins élevé (on l’appellera tout simplement le taux</w:t>
      </w:r>
      <w:r>
        <w:rPr>
          <w:rFonts w:ascii="Rockwell" w:hAnsi="Rockwell" w:cs="Arial"/>
          <w:sz w:val="32"/>
          <w:szCs w:val="32"/>
        </w:rPr>
        <w:t xml:space="preserve"> réduit pour ne pas le confondre avec le taux intermédiaire) :</w:t>
      </w:r>
    </w:p>
    <w:p w14:paraId="4DE17B57" w14:textId="77777777" w:rsidR="005E3E24" w:rsidRDefault="005E3E24" w:rsidP="005E3E24">
      <w:pPr>
        <w:jc w:val="both"/>
        <w:rPr>
          <w:rFonts w:ascii="Rockwell" w:hAnsi="Rockwell" w:cs="Arial"/>
          <w:sz w:val="32"/>
          <w:szCs w:val="32"/>
        </w:rPr>
      </w:pPr>
    </w:p>
    <w:p w14:paraId="5E45A6E6" w14:textId="77777777" w:rsidR="005E3E24" w:rsidRDefault="005E3E24" w:rsidP="005E3E24">
      <w:pPr>
        <w:jc w:val="both"/>
        <w:rPr>
          <w:rFonts w:ascii="Rockwell" w:hAnsi="Rockwell" w:cs="Arial"/>
          <w:sz w:val="32"/>
          <w:szCs w:val="32"/>
        </w:rPr>
      </w:pPr>
      <w:r>
        <w:rPr>
          <w:rFonts w:ascii="Rockwell" w:hAnsi="Rockwell" w:cs="Arial"/>
          <w:sz w:val="32"/>
          <w:szCs w:val="32"/>
        </w:rPr>
        <w:t xml:space="preserve">Sur 27 États qui ont des taux réduits, nous avons vu que 9 États n’en ont qu’un seul. Par conséquent il reste 18 États qui utilisent un second taux réduit qui n’est pas le même pour chaque Etat. </w:t>
      </w:r>
    </w:p>
    <w:p w14:paraId="3120ADC8" w14:textId="77777777" w:rsidR="005E3E24" w:rsidRPr="00F60269" w:rsidRDefault="005E3E24" w:rsidP="005E3E24">
      <w:pPr>
        <w:jc w:val="both"/>
        <w:rPr>
          <w:rFonts w:ascii="Rockwell" w:hAnsi="Rockwell" w:cs="Arial"/>
          <w:b/>
          <w:sz w:val="32"/>
          <w:szCs w:val="32"/>
          <w:u w:val="single"/>
        </w:rPr>
      </w:pPr>
    </w:p>
    <w:p w14:paraId="4DB79E88" w14:textId="77777777" w:rsidR="005E3E24" w:rsidRDefault="005E3E24" w:rsidP="005E3E24">
      <w:pPr>
        <w:jc w:val="both"/>
        <w:rPr>
          <w:rFonts w:ascii="Rockwell" w:hAnsi="Rockwell" w:cs="Arial"/>
          <w:sz w:val="32"/>
          <w:szCs w:val="32"/>
        </w:rPr>
      </w:pPr>
      <w:r>
        <w:rPr>
          <w:rFonts w:ascii="Rockwell" w:hAnsi="Rockwell" w:cs="Arial"/>
          <w:sz w:val="32"/>
          <w:szCs w:val="32"/>
        </w:rPr>
        <w:t>10% Autriche, Finlande et République Tchèque.</w:t>
      </w:r>
    </w:p>
    <w:p w14:paraId="1849AF2F" w14:textId="77777777" w:rsidR="005E3E24" w:rsidRDefault="005E3E24" w:rsidP="005E3E24">
      <w:pPr>
        <w:jc w:val="both"/>
        <w:rPr>
          <w:rFonts w:ascii="Rockwell" w:hAnsi="Rockwell" w:cs="Arial"/>
          <w:sz w:val="32"/>
          <w:szCs w:val="32"/>
        </w:rPr>
      </w:pPr>
      <w:r>
        <w:rPr>
          <w:rFonts w:ascii="Rockwell" w:hAnsi="Rockwell" w:cs="Arial"/>
          <w:sz w:val="32"/>
          <w:szCs w:val="32"/>
        </w:rPr>
        <w:t>9% Irlande.</w:t>
      </w:r>
    </w:p>
    <w:p w14:paraId="5DD26781" w14:textId="77777777" w:rsidR="005E3E24" w:rsidRPr="0053733A" w:rsidRDefault="005E3E24" w:rsidP="005E3E24">
      <w:pPr>
        <w:jc w:val="both"/>
        <w:rPr>
          <w:rFonts w:ascii="Rockwell" w:hAnsi="Rockwell" w:cs="Arial"/>
          <w:b/>
          <w:color w:val="FF0000"/>
          <w:sz w:val="32"/>
          <w:szCs w:val="32"/>
          <w:u w:val="single"/>
        </w:rPr>
      </w:pPr>
      <w:r w:rsidRPr="0053733A">
        <w:rPr>
          <w:rFonts w:ascii="Rockwell" w:hAnsi="Rockwell" w:cs="Arial"/>
          <w:b/>
          <w:color w:val="FF0000"/>
          <w:sz w:val="32"/>
          <w:szCs w:val="32"/>
          <w:u w:val="single"/>
        </w:rPr>
        <w:t>En moyenne pour les 18 États membres, ce second taux réduit est à 6,3%.</w:t>
      </w:r>
    </w:p>
    <w:p w14:paraId="6BD99A00" w14:textId="77777777" w:rsidR="005E3E24" w:rsidRDefault="005E3E24" w:rsidP="005E3E24">
      <w:pPr>
        <w:jc w:val="both"/>
        <w:rPr>
          <w:rFonts w:ascii="Rockwell" w:hAnsi="Rockwell" w:cs="Arial"/>
          <w:sz w:val="32"/>
          <w:szCs w:val="32"/>
        </w:rPr>
      </w:pPr>
    </w:p>
    <w:p w14:paraId="15F5DF8C" w14:textId="77777777" w:rsidR="005E3E24" w:rsidRDefault="005E3E24" w:rsidP="005E3E24">
      <w:pPr>
        <w:jc w:val="both"/>
        <w:rPr>
          <w:rFonts w:ascii="Rockwell" w:hAnsi="Rockwell" w:cs="Arial"/>
          <w:sz w:val="32"/>
          <w:szCs w:val="32"/>
        </w:rPr>
      </w:pPr>
      <w:r>
        <w:rPr>
          <w:rFonts w:ascii="Rockwell" w:hAnsi="Rockwell" w:cs="Arial"/>
          <w:sz w:val="32"/>
          <w:szCs w:val="32"/>
        </w:rPr>
        <w:t>6% Belgique, Grèce, Portugal, Suède.</w:t>
      </w:r>
    </w:p>
    <w:p w14:paraId="148DC6EB" w14:textId="77777777" w:rsidR="005E3E24" w:rsidRDefault="005E3E24" w:rsidP="005E3E24">
      <w:pPr>
        <w:jc w:val="both"/>
        <w:rPr>
          <w:rFonts w:ascii="Rockwell" w:hAnsi="Rockwell" w:cs="Arial"/>
          <w:sz w:val="32"/>
          <w:szCs w:val="32"/>
        </w:rPr>
      </w:pPr>
      <w:r>
        <w:rPr>
          <w:rFonts w:ascii="Rockwell" w:hAnsi="Rockwell" w:cs="Arial"/>
          <w:sz w:val="32"/>
          <w:szCs w:val="32"/>
        </w:rPr>
        <w:t>5,5% France.</w:t>
      </w:r>
    </w:p>
    <w:p w14:paraId="1E14DCAC" w14:textId="77777777" w:rsidR="005E3E24" w:rsidRDefault="005E3E24" w:rsidP="005E3E24">
      <w:pPr>
        <w:jc w:val="both"/>
        <w:rPr>
          <w:rFonts w:ascii="Rockwell" w:hAnsi="Rockwell" w:cs="Arial"/>
          <w:sz w:val="32"/>
          <w:szCs w:val="32"/>
        </w:rPr>
      </w:pPr>
    </w:p>
    <w:p w14:paraId="216267E9" w14:textId="77777777" w:rsidR="005E3E24" w:rsidRDefault="005E3E24" w:rsidP="005E3E24">
      <w:pPr>
        <w:jc w:val="both"/>
        <w:rPr>
          <w:rFonts w:ascii="Rockwell" w:hAnsi="Rockwell" w:cs="Arial"/>
          <w:sz w:val="32"/>
          <w:szCs w:val="32"/>
        </w:rPr>
      </w:pPr>
      <w:r>
        <w:rPr>
          <w:rFonts w:ascii="Rockwell" w:hAnsi="Rockwell" w:cs="Arial"/>
          <w:sz w:val="32"/>
          <w:szCs w:val="32"/>
        </w:rPr>
        <w:t xml:space="preserve">5% Chypre, Hongrie, Italie, Lettonie, Lituanie, Malte, Pologne, Roumanie, Royaume-Uni (au total 9 États, c’est le groupe le + nombreux). </w:t>
      </w:r>
    </w:p>
    <w:p w14:paraId="57391CAD" w14:textId="77777777" w:rsidR="005E3E24" w:rsidRDefault="005E3E24" w:rsidP="005E3E24">
      <w:pPr>
        <w:jc w:val="both"/>
        <w:rPr>
          <w:rFonts w:ascii="Rockwell" w:hAnsi="Rockwell" w:cs="Arial"/>
          <w:sz w:val="32"/>
          <w:szCs w:val="32"/>
        </w:rPr>
      </w:pPr>
      <w:r>
        <w:rPr>
          <w:rFonts w:ascii="Rockwell" w:hAnsi="Rockwell" w:cs="Arial"/>
          <w:sz w:val="32"/>
          <w:szCs w:val="32"/>
        </w:rPr>
        <w:t>Il faut savoir que 3 États appliquent une TVA à 0% pour les produits de base : Le RU, l’Irlande et Malte, pourquoi ? tout simplement parce que ce taux existait avant le marché unique.</w:t>
      </w:r>
    </w:p>
    <w:p w14:paraId="450DFA2E" w14:textId="77777777" w:rsidR="005E3E24" w:rsidRDefault="005E3E24" w:rsidP="005E3E24">
      <w:pPr>
        <w:jc w:val="both"/>
        <w:rPr>
          <w:rFonts w:ascii="Rockwell" w:hAnsi="Rockwell"/>
          <w:sz w:val="32"/>
          <w:szCs w:val="32"/>
        </w:rPr>
      </w:pPr>
    </w:p>
    <w:p w14:paraId="44438EAD" w14:textId="77777777" w:rsidR="005E3E24" w:rsidRDefault="005E3E24" w:rsidP="005E3E24">
      <w:pPr>
        <w:jc w:val="both"/>
        <w:rPr>
          <w:rFonts w:ascii="Rockwell" w:hAnsi="Rockwell" w:cs="Arial"/>
          <w:sz w:val="32"/>
          <w:szCs w:val="32"/>
        </w:rPr>
      </w:pPr>
    </w:p>
    <w:p w14:paraId="6EC56620" w14:textId="77777777" w:rsidR="005E3E24" w:rsidRDefault="005E3E24" w:rsidP="005E3E24">
      <w:pPr>
        <w:jc w:val="both"/>
        <w:rPr>
          <w:rFonts w:ascii="Rockwell" w:hAnsi="Rockwell" w:cs="Arial"/>
          <w:sz w:val="32"/>
          <w:szCs w:val="32"/>
        </w:rPr>
      </w:pPr>
      <w:r w:rsidRPr="005E3E24">
        <w:rPr>
          <w:rFonts w:ascii="Rockwell" w:hAnsi="Rockwell" w:cs="Arial"/>
          <w:sz w:val="32"/>
          <w:szCs w:val="32"/>
          <w:highlight w:val="green"/>
        </w:rPr>
        <w:t>§3 Le taux super-réduit : L’administration l’appelle aussi le taux particulier.</w:t>
      </w:r>
      <w:r>
        <w:rPr>
          <w:rFonts w:ascii="Rockwell" w:hAnsi="Rockwell" w:cs="Arial"/>
          <w:sz w:val="32"/>
          <w:szCs w:val="32"/>
        </w:rPr>
        <w:t xml:space="preserve"> </w:t>
      </w:r>
    </w:p>
    <w:p w14:paraId="25EBCD51" w14:textId="77777777" w:rsidR="005E3E24" w:rsidRDefault="005E3E24" w:rsidP="005E3E24">
      <w:pPr>
        <w:jc w:val="both"/>
        <w:rPr>
          <w:rFonts w:ascii="Rockwell" w:hAnsi="Rockwell" w:cs="Arial"/>
          <w:sz w:val="32"/>
          <w:szCs w:val="32"/>
        </w:rPr>
      </w:pPr>
    </w:p>
    <w:p w14:paraId="62306148" w14:textId="77777777" w:rsidR="005E3E24" w:rsidRDefault="005E3E24" w:rsidP="005E3E24">
      <w:pPr>
        <w:jc w:val="both"/>
        <w:rPr>
          <w:rFonts w:ascii="Rockwell" w:hAnsi="Rockwell" w:cs="Arial"/>
          <w:sz w:val="32"/>
          <w:szCs w:val="32"/>
        </w:rPr>
      </w:pPr>
      <w:r>
        <w:rPr>
          <w:rFonts w:ascii="Rockwell" w:hAnsi="Rockwell" w:cs="Arial"/>
          <w:sz w:val="32"/>
          <w:szCs w:val="32"/>
        </w:rPr>
        <w:t xml:space="preserve">Seuls 5 pays ont un taux super-réduit dont la France, il s’agit dans l’ordre décroissant de l’Irlande (4,8%), L’Espagne et l’Italie (4%), le Luxembourg (3%) et la France (2,1%). </w:t>
      </w:r>
    </w:p>
    <w:p w14:paraId="75110495" w14:textId="77777777" w:rsidR="005E3E24" w:rsidRDefault="005E3E24" w:rsidP="005E3E24">
      <w:pPr>
        <w:jc w:val="both"/>
        <w:rPr>
          <w:rFonts w:ascii="Rockwell" w:hAnsi="Rockwell" w:cs="Arial"/>
          <w:sz w:val="32"/>
          <w:szCs w:val="32"/>
        </w:rPr>
      </w:pPr>
    </w:p>
    <w:p w14:paraId="28E9CAE1" w14:textId="77777777" w:rsidR="005E3E24" w:rsidRDefault="005E3E24" w:rsidP="005E3E24">
      <w:pPr>
        <w:jc w:val="both"/>
        <w:rPr>
          <w:rFonts w:ascii="Rockwell" w:hAnsi="Rockwell" w:cs="Arial"/>
          <w:sz w:val="32"/>
          <w:szCs w:val="32"/>
        </w:rPr>
      </w:pPr>
      <w:r>
        <w:rPr>
          <w:rFonts w:ascii="Rockwell" w:hAnsi="Rockwell" w:cs="Arial"/>
          <w:sz w:val="32"/>
          <w:szCs w:val="32"/>
        </w:rPr>
        <w:t>Ce sont des taux dérogatoires qui ne portent que sur des assiettes spécifiques. Ces assiettes spécifiques sont super-réduites. On retiendra que les taux super-réduits portent sur des assiettes super-réduites car ce sont des assiettes ne comportant que très peu de biens et services ce qui fait que l’incidence financière est tout à fait négligeable pour les finances publiques. Ces taux super-réduits devaient être provisoires mais on les a laissé perdurer car ils permettent de favoriser certains produits qui sont ainsi très peu taxés. Ce taux super-réduit existait en Europe avant le 1</w:t>
      </w:r>
      <w:r w:rsidRPr="00893E4E">
        <w:rPr>
          <w:rFonts w:ascii="Rockwell" w:hAnsi="Rockwell" w:cs="Arial"/>
          <w:sz w:val="32"/>
          <w:szCs w:val="32"/>
          <w:vertAlign w:val="superscript"/>
        </w:rPr>
        <w:t>er</w:t>
      </w:r>
      <w:r>
        <w:rPr>
          <w:rFonts w:ascii="Rockwell" w:hAnsi="Rockwell" w:cs="Arial"/>
          <w:sz w:val="32"/>
          <w:szCs w:val="32"/>
        </w:rPr>
        <w:t xml:space="preserve"> janvier 1991 et on l’a laissé subsister.</w:t>
      </w:r>
    </w:p>
    <w:p w14:paraId="2C18F23B" w14:textId="77777777" w:rsidR="005E3E24" w:rsidRDefault="005E3E24" w:rsidP="005E3E24">
      <w:pPr>
        <w:jc w:val="both"/>
        <w:rPr>
          <w:rFonts w:ascii="Rockwell" w:hAnsi="Rockwell" w:cs="Arial"/>
          <w:sz w:val="32"/>
          <w:szCs w:val="32"/>
        </w:rPr>
      </w:pPr>
    </w:p>
    <w:p w14:paraId="541188C4" w14:textId="77777777" w:rsidR="005E3E24" w:rsidRDefault="005E3E24" w:rsidP="005E3E24">
      <w:pPr>
        <w:jc w:val="both"/>
        <w:rPr>
          <w:rFonts w:ascii="Rockwell" w:hAnsi="Rockwell" w:cs="Arial"/>
          <w:sz w:val="32"/>
          <w:szCs w:val="32"/>
        </w:rPr>
      </w:pPr>
    </w:p>
    <w:p w14:paraId="3FB89E0C" w14:textId="77777777" w:rsidR="005E3E24" w:rsidRDefault="005E3E24" w:rsidP="005E3E24">
      <w:pPr>
        <w:jc w:val="both"/>
        <w:rPr>
          <w:rFonts w:ascii="Rockwell" w:hAnsi="Rockwell" w:cs="Arial"/>
          <w:sz w:val="32"/>
          <w:szCs w:val="32"/>
        </w:rPr>
      </w:pPr>
      <w:r w:rsidRPr="005E3E24">
        <w:rPr>
          <w:rFonts w:ascii="Rockwell" w:hAnsi="Rockwell" w:cs="Arial"/>
          <w:sz w:val="32"/>
          <w:szCs w:val="32"/>
          <w:highlight w:val="green"/>
        </w:rPr>
        <w:t>§4 Le taux parking :</w:t>
      </w:r>
      <w:r>
        <w:rPr>
          <w:rFonts w:ascii="Rockwell" w:hAnsi="Rockwell" w:cs="Arial"/>
          <w:sz w:val="32"/>
          <w:szCs w:val="32"/>
        </w:rPr>
        <w:t xml:space="preserve"> Les États membre de l’UE qui appliquaient un taux réduit de TVA avant le 1</w:t>
      </w:r>
      <w:r w:rsidRPr="006D4112">
        <w:rPr>
          <w:rFonts w:ascii="Rockwell" w:hAnsi="Rockwell" w:cs="Arial"/>
          <w:sz w:val="32"/>
          <w:szCs w:val="32"/>
          <w:vertAlign w:val="superscript"/>
        </w:rPr>
        <w:t>er</w:t>
      </w:r>
      <w:r>
        <w:rPr>
          <w:rFonts w:ascii="Rockwell" w:hAnsi="Rockwell" w:cs="Arial"/>
          <w:sz w:val="32"/>
          <w:szCs w:val="32"/>
        </w:rPr>
        <w:t xml:space="preserve"> janvier 1991 à des produits qui ne figuraient pas à l’annexe III de la Directive communautaire ont été autorisés à appliquer à titre provisoire un taux parking qui ne peut être inférieur à 12% afin de leur permettre de s’acheminer plus facilement vers le taux normal. Ainsi, seuls 5 pays appliquent un taux parking au lieu d’appliquer leur taux normal. Par exemple 14% pour le Luxembourg  au lieu de 17%), 13,5% pour l’Irlande (au lieu de 23%), 13% pour l’Autriche et le Portugal (au lieu de 20 et 23%) et 12% pour la Belgique (au lieu de 21%). Le taux de 12% est le plancher du taux parking qui ne peut être inférieur à cette limite. On retiendra que le taux parking est tout simplement un taux normal exceptionnellement plus bas que la normale. C’est un petit taux normal qui n’est pas un taux intermédiaire. </w:t>
      </w:r>
    </w:p>
    <w:p w14:paraId="2893F9D8" w14:textId="77777777" w:rsidR="005E3E24" w:rsidRDefault="005E3E24" w:rsidP="005E3E24">
      <w:pPr>
        <w:jc w:val="both"/>
        <w:rPr>
          <w:rFonts w:ascii="Rockwell" w:hAnsi="Rockwell" w:cs="Arial"/>
          <w:sz w:val="32"/>
          <w:szCs w:val="32"/>
        </w:rPr>
      </w:pPr>
    </w:p>
    <w:p w14:paraId="4FE491E2" w14:textId="77777777" w:rsidR="005E3E24" w:rsidRDefault="005E3E24" w:rsidP="005E3E24">
      <w:pPr>
        <w:jc w:val="both"/>
        <w:rPr>
          <w:rFonts w:ascii="Rockwell" w:hAnsi="Rockwell" w:cs="Arial"/>
          <w:sz w:val="32"/>
          <w:szCs w:val="32"/>
        </w:rPr>
      </w:pPr>
      <w:r w:rsidRPr="005E3E24">
        <w:rPr>
          <w:rFonts w:ascii="Rockwell" w:hAnsi="Rockwell" w:cs="Arial"/>
          <w:sz w:val="32"/>
          <w:szCs w:val="32"/>
          <w:highlight w:val="green"/>
        </w:rPr>
        <w:t>§5 Informations pratiques intéressantes :</w:t>
      </w:r>
    </w:p>
    <w:p w14:paraId="0EBD70B5" w14:textId="77777777" w:rsidR="005E3E24" w:rsidRDefault="005E3E24" w:rsidP="005E3E24">
      <w:pPr>
        <w:jc w:val="both"/>
        <w:rPr>
          <w:rFonts w:ascii="Rockwell" w:hAnsi="Rockwell" w:cs="Arial"/>
          <w:sz w:val="32"/>
          <w:szCs w:val="32"/>
        </w:rPr>
      </w:pPr>
      <w:r w:rsidRPr="008F178B">
        <w:rPr>
          <w:rFonts w:ascii="Rockwell" w:hAnsi="Rockwell" w:cs="Arial"/>
          <w:sz w:val="32"/>
          <w:szCs w:val="32"/>
          <w:highlight w:val="magenta"/>
        </w:rPr>
        <w:t>a)</w:t>
      </w:r>
      <w:r>
        <w:rPr>
          <w:rFonts w:ascii="Rockwell" w:hAnsi="Rockwell" w:cs="Arial"/>
          <w:sz w:val="32"/>
          <w:szCs w:val="32"/>
        </w:rPr>
        <w:t xml:space="preserve"> le taux de TVA en Suisse (hors UE) est de 7,7% ce qui est très attractif. Andorre a encore mieux avec 4,5%. </w:t>
      </w:r>
    </w:p>
    <w:p w14:paraId="14998EEC" w14:textId="77777777" w:rsidR="005E3E24" w:rsidRDefault="005E3E24" w:rsidP="005E3E24">
      <w:pPr>
        <w:jc w:val="both"/>
        <w:rPr>
          <w:rFonts w:ascii="Rockwell" w:hAnsi="Rockwell" w:cs="Arial"/>
          <w:sz w:val="32"/>
          <w:szCs w:val="32"/>
        </w:rPr>
      </w:pPr>
      <w:r w:rsidRPr="008F178B">
        <w:rPr>
          <w:rFonts w:ascii="Rockwell" w:hAnsi="Rockwell" w:cs="Arial"/>
          <w:sz w:val="32"/>
          <w:szCs w:val="32"/>
          <w:highlight w:val="magenta"/>
        </w:rPr>
        <w:t>b)</w:t>
      </w:r>
      <w:r>
        <w:rPr>
          <w:rFonts w:ascii="Rockwell" w:hAnsi="Rockwell" w:cs="Arial"/>
          <w:sz w:val="32"/>
          <w:szCs w:val="32"/>
        </w:rPr>
        <w:t xml:space="preserve"> la détaxe : Lorsque la TVA est incluse dans le prix d’achat, il est possible de se la faire rembourser à condition qu’il s’agisse des achats de biens et non de services. La détaxe peut ainsi bénéficier aux résidents hors UE qui se font ainsi rembourser la TVA à condition de rapporter les marchandises dans leurs bagages (ce qui est vérifié par les services de la douane). Il peut s’agit de 2 types de personnes :</w:t>
      </w:r>
    </w:p>
    <w:p w14:paraId="620CABEE" w14:textId="77777777" w:rsidR="005E3E24" w:rsidRDefault="005E3E24" w:rsidP="005E3E24">
      <w:pPr>
        <w:jc w:val="both"/>
        <w:rPr>
          <w:rFonts w:ascii="Rockwell" w:hAnsi="Rockwell" w:cs="Arial"/>
          <w:sz w:val="32"/>
          <w:szCs w:val="32"/>
        </w:rPr>
      </w:pPr>
      <w:r>
        <w:rPr>
          <w:rFonts w:ascii="Rockwell" w:hAnsi="Rockwell" w:cs="Arial"/>
          <w:sz w:val="32"/>
          <w:szCs w:val="32"/>
        </w:rPr>
        <w:t>1. ressortissants d’États-tiers dont la résidence est située hors UE.</w:t>
      </w:r>
    </w:p>
    <w:p w14:paraId="1B2CAC25" w14:textId="77777777" w:rsidR="005E3E24" w:rsidRDefault="005E3E24" w:rsidP="005E3E24">
      <w:pPr>
        <w:jc w:val="both"/>
        <w:rPr>
          <w:rFonts w:ascii="Rockwell" w:hAnsi="Rockwell" w:cs="Arial"/>
          <w:sz w:val="32"/>
          <w:szCs w:val="32"/>
        </w:rPr>
      </w:pPr>
      <w:r>
        <w:rPr>
          <w:rFonts w:ascii="Rockwell" w:hAnsi="Rockwell" w:cs="Arial"/>
          <w:sz w:val="32"/>
          <w:szCs w:val="32"/>
        </w:rPr>
        <w:t xml:space="preserve">2. ressortissants d’États membres de l’UE résidant hors UE à condition d’établir cette résidence hors UE par un permis de séjour ou un certificat administratif du consulat. Un site explique tout cela, le site : </w:t>
      </w:r>
      <w:hyperlink r:id="rId7" w:history="1">
        <w:r w:rsidRPr="000F6515">
          <w:rPr>
            <w:rStyle w:val="Lienhypertexte"/>
            <w:rFonts w:ascii="Rockwell" w:hAnsi="Rockwell" w:cs="Arial"/>
            <w:sz w:val="32"/>
            <w:szCs w:val="32"/>
          </w:rPr>
          <w:t>www.zapptax.com</w:t>
        </w:r>
      </w:hyperlink>
      <w:r>
        <w:rPr>
          <w:rFonts w:ascii="Rockwell" w:hAnsi="Rockwell" w:cs="Arial"/>
          <w:sz w:val="32"/>
          <w:szCs w:val="32"/>
        </w:rPr>
        <w:t xml:space="preserve"> </w:t>
      </w:r>
    </w:p>
    <w:p w14:paraId="1BD4C363" w14:textId="77777777" w:rsidR="005E3E24" w:rsidRDefault="005E3E24" w:rsidP="005E3E24">
      <w:pPr>
        <w:jc w:val="both"/>
        <w:rPr>
          <w:rFonts w:ascii="Rockwell" w:hAnsi="Rockwell" w:cs="Arial"/>
          <w:sz w:val="32"/>
          <w:szCs w:val="32"/>
        </w:rPr>
      </w:pPr>
      <w:bookmarkStart w:id="0" w:name="_GoBack"/>
      <w:bookmarkEnd w:id="0"/>
      <w:r w:rsidRPr="008F178B">
        <w:rPr>
          <w:rFonts w:ascii="Rockwell" w:hAnsi="Rockwell" w:cs="Arial"/>
          <w:sz w:val="32"/>
          <w:szCs w:val="32"/>
          <w:highlight w:val="magenta"/>
        </w:rPr>
        <w:t>c)</w:t>
      </w:r>
      <w:r>
        <w:rPr>
          <w:rFonts w:ascii="Rockwell" w:hAnsi="Rockwell" w:cs="Arial"/>
          <w:sz w:val="32"/>
          <w:szCs w:val="32"/>
        </w:rPr>
        <w:t xml:space="preserve"> le conseil a décidé que le système définitif applicable à la TVA intracommunautaire s’appliquerait au 1</w:t>
      </w:r>
      <w:r w:rsidRPr="00757FDF">
        <w:rPr>
          <w:rFonts w:ascii="Rockwell" w:hAnsi="Rockwell" w:cs="Arial"/>
          <w:sz w:val="32"/>
          <w:szCs w:val="32"/>
          <w:vertAlign w:val="superscript"/>
        </w:rPr>
        <w:t>er</w:t>
      </w:r>
      <w:r>
        <w:rPr>
          <w:rFonts w:ascii="Rockwell" w:hAnsi="Rockwell" w:cs="Arial"/>
          <w:sz w:val="32"/>
          <w:szCs w:val="32"/>
        </w:rPr>
        <w:t xml:space="preserve"> janvier 2022. En attendant, les États membres de l’UE ne peuvent pas refuser d’accorder le bénéfice de l’exonération de TVA applicable aux livraisons intracommunautaires au seul motif que le fournisseur n’a pas transmis son numéro de TVA de l’acquéreur. </w:t>
      </w:r>
    </w:p>
    <w:p w14:paraId="4C586C6E" w14:textId="77777777" w:rsidR="005E3E24" w:rsidRDefault="005E3E24" w:rsidP="005E3E24">
      <w:pPr>
        <w:jc w:val="both"/>
        <w:rPr>
          <w:rFonts w:ascii="Rockwell" w:hAnsi="Rockwell" w:cs="Arial"/>
          <w:sz w:val="32"/>
          <w:szCs w:val="32"/>
        </w:rPr>
      </w:pPr>
    </w:p>
    <w:p w14:paraId="77448C07" w14:textId="77777777" w:rsidR="005E3E24" w:rsidRDefault="005E3E24" w:rsidP="005E3E24">
      <w:pPr>
        <w:jc w:val="both"/>
        <w:rPr>
          <w:rFonts w:ascii="Rockwell" w:hAnsi="Rockwell"/>
          <w:sz w:val="32"/>
          <w:szCs w:val="32"/>
        </w:rPr>
      </w:pPr>
    </w:p>
    <w:p w14:paraId="1BBCE11B" w14:textId="77777777" w:rsidR="005E3E24" w:rsidRDefault="005E3E24" w:rsidP="005E3E24">
      <w:pPr>
        <w:jc w:val="both"/>
        <w:rPr>
          <w:rFonts w:ascii="Rockwell" w:hAnsi="Rockwell"/>
          <w:b/>
          <w:sz w:val="32"/>
          <w:szCs w:val="32"/>
          <w:u w:val="single"/>
        </w:rPr>
      </w:pPr>
    </w:p>
    <w:p w14:paraId="38148653" w14:textId="77777777" w:rsidR="005E3E24" w:rsidRDefault="005E3E24" w:rsidP="005E3E24">
      <w:pPr>
        <w:jc w:val="both"/>
        <w:rPr>
          <w:rFonts w:ascii="Rockwell" w:hAnsi="Rockwell"/>
          <w:b/>
          <w:sz w:val="32"/>
          <w:szCs w:val="32"/>
          <w:u w:val="single"/>
        </w:rPr>
      </w:pPr>
    </w:p>
    <w:p w14:paraId="0671FCDE" w14:textId="77777777" w:rsidR="005E3E24" w:rsidRDefault="005E3E24" w:rsidP="005E3E24">
      <w:pPr>
        <w:jc w:val="both"/>
        <w:rPr>
          <w:rFonts w:ascii="Rockwell" w:hAnsi="Rockwell"/>
          <w:b/>
          <w:sz w:val="32"/>
          <w:szCs w:val="32"/>
          <w:u w:val="single"/>
        </w:rPr>
      </w:pPr>
    </w:p>
    <w:p w14:paraId="5DFE748A" w14:textId="77777777" w:rsidR="005E3E24" w:rsidRDefault="005E3E24" w:rsidP="005E3E24">
      <w:pPr>
        <w:jc w:val="both"/>
        <w:rPr>
          <w:rFonts w:ascii="Rockwell" w:hAnsi="Rockwell"/>
          <w:b/>
          <w:sz w:val="32"/>
          <w:szCs w:val="32"/>
          <w:u w:val="single"/>
        </w:rPr>
      </w:pPr>
    </w:p>
    <w:p w14:paraId="05C9AC33" w14:textId="77777777" w:rsidR="005E3E24" w:rsidRDefault="005E3E24" w:rsidP="005E3E24">
      <w:pPr>
        <w:jc w:val="both"/>
        <w:rPr>
          <w:rFonts w:ascii="Rockwell" w:hAnsi="Rockwell"/>
          <w:b/>
          <w:sz w:val="32"/>
          <w:szCs w:val="32"/>
          <w:u w:val="single"/>
        </w:rPr>
      </w:pPr>
    </w:p>
    <w:p w14:paraId="24DFE0BE" w14:textId="77777777" w:rsidR="005E3E24" w:rsidRDefault="005E3E24" w:rsidP="005E3E24">
      <w:pPr>
        <w:jc w:val="both"/>
        <w:rPr>
          <w:rFonts w:ascii="Rockwell" w:hAnsi="Rockwell"/>
          <w:b/>
          <w:sz w:val="32"/>
          <w:szCs w:val="32"/>
          <w:u w:val="single"/>
        </w:rPr>
      </w:pPr>
    </w:p>
    <w:p w14:paraId="3BBDA60D" w14:textId="77777777" w:rsidR="005E3E24" w:rsidRDefault="005E3E24" w:rsidP="005E3E24">
      <w:pPr>
        <w:jc w:val="both"/>
        <w:rPr>
          <w:rFonts w:ascii="Rockwell" w:hAnsi="Rockwell"/>
          <w:b/>
          <w:sz w:val="32"/>
          <w:szCs w:val="32"/>
          <w:u w:val="single"/>
        </w:rPr>
      </w:pPr>
    </w:p>
    <w:p w14:paraId="75981012" w14:textId="77777777" w:rsidR="005E3E24" w:rsidRDefault="005E3E24" w:rsidP="005E3E24">
      <w:pPr>
        <w:jc w:val="both"/>
        <w:rPr>
          <w:rFonts w:ascii="Rockwell" w:hAnsi="Rockwell"/>
          <w:b/>
          <w:sz w:val="32"/>
          <w:szCs w:val="32"/>
          <w:u w:val="single"/>
        </w:rPr>
      </w:pPr>
    </w:p>
    <w:p w14:paraId="65AD6A17" w14:textId="77777777" w:rsidR="008F178B" w:rsidRDefault="008F178B" w:rsidP="005E3E24">
      <w:pPr>
        <w:jc w:val="both"/>
        <w:rPr>
          <w:rFonts w:ascii="Rockwell" w:hAnsi="Rockwell"/>
          <w:b/>
          <w:sz w:val="32"/>
          <w:szCs w:val="32"/>
          <w:u w:val="single"/>
        </w:rPr>
      </w:pPr>
    </w:p>
    <w:p w14:paraId="48CBCF65" w14:textId="77777777" w:rsidR="005E3E24" w:rsidRDefault="005E3E24" w:rsidP="005E3E24">
      <w:pPr>
        <w:jc w:val="both"/>
        <w:rPr>
          <w:rFonts w:ascii="Rockwell" w:hAnsi="Rockwell"/>
          <w:b/>
          <w:sz w:val="32"/>
          <w:szCs w:val="32"/>
          <w:u w:val="single"/>
        </w:rPr>
      </w:pPr>
      <w:r w:rsidRPr="00BD566A">
        <w:rPr>
          <w:rFonts w:ascii="Rockwell" w:hAnsi="Rockwell"/>
          <w:b/>
          <w:sz w:val="32"/>
          <w:szCs w:val="32"/>
          <w:u w:val="single"/>
        </w:rPr>
        <w:t xml:space="preserve">Section 2 En </w:t>
      </w:r>
      <w:r w:rsidR="008F178B">
        <w:rPr>
          <w:rFonts w:ascii="Rockwell" w:hAnsi="Rockwell"/>
          <w:b/>
          <w:sz w:val="32"/>
          <w:szCs w:val="32"/>
          <w:u w:val="single"/>
        </w:rPr>
        <w:t>France :</w:t>
      </w:r>
    </w:p>
    <w:p w14:paraId="4DE023C4" w14:textId="77777777" w:rsidR="008F178B" w:rsidRPr="00BD566A" w:rsidRDefault="008F178B" w:rsidP="005E3E24">
      <w:pPr>
        <w:jc w:val="both"/>
        <w:rPr>
          <w:rFonts w:ascii="Rockwell" w:hAnsi="Rockwell"/>
          <w:b/>
          <w:sz w:val="32"/>
          <w:szCs w:val="32"/>
          <w:u w:val="single"/>
        </w:rPr>
      </w:pPr>
    </w:p>
    <w:p w14:paraId="2AC8FA62" w14:textId="77777777" w:rsidR="005E3E24" w:rsidRDefault="005E3E24" w:rsidP="005E3E24">
      <w:pPr>
        <w:jc w:val="both"/>
        <w:rPr>
          <w:rFonts w:ascii="Rockwell" w:hAnsi="Rockwell"/>
          <w:sz w:val="32"/>
          <w:szCs w:val="32"/>
        </w:rPr>
      </w:pPr>
    </w:p>
    <w:p w14:paraId="7B3A55D1" w14:textId="77777777" w:rsidR="005E3E24" w:rsidRPr="00455E4F" w:rsidRDefault="005E3E24" w:rsidP="005E3E24">
      <w:pPr>
        <w:jc w:val="both"/>
        <w:rPr>
          <w:rFonts w:ascii="Rockwell" w:hAnsi="Rockwell"/>
          <w:sz w:val="32"/>
          <w:szCs w:val="32"/>
          <w:u w:val="single"/>
        </w:rPr>
      </w:pPr>
      <w:r w:rsidRPr="005E3E24">
        <w:rPr>
          <w:rFonts w:ascii="Rockwell" w:hAnsi="Rockwell"/>
          <w:sz w:val="32"/>
          <w:szCs w:val="32"/>
          <w:highlight w:val="yellow"/>
          <w:u w:val="single"/>
        </w:rPr>
        <w:t>A/ Le taux majoré : Il n’existe plus depuis 1992.</w:t>
      </w:r>
    </w:p>
    <w:p w14:paraId="07FB396D" w14:textId="77777777" w:rsidR="005E3E24" w:rsidRPr="006C6535" w:rsidRDefault="005E3E24" w:rsidP="005E3E24">
      <w:pPr>
        <w:jc w:val="both"/>
        <w:rPr>
          <w:rFonts w:ascii="Rockwell" w:eastAsia="Times New Roman" w:hAnsi="Rockwell" w:cs="Times New Roman"/>
          <w:sz w:val="32"/>
          <w:szCs w:val="32"/>
          <w:lang w:eastAsia="fr-FR"/>
        </w:rPr>
      </w:pPr>
      <w:r w:rsidRPr="006C6535">
        <w:rPr>
          <w:rFonts w:ascii="Rockwell" w:eastAsia="Times New Roman" w:hAnsi="Rockwell" w:cs="Times New Roman"/>
          <w:color w:val="444444"/>
          <w:sz w:val="32"/>
          <w:szCs w:val="32"/>
          <w:shd w:val="clear" w:color="auto" w:fill="FFFFFF"/>
          <w:lang w:eastAsia="fr-FR"/>
        </w:rPr>
        <w:t>Lorsqu’il était en vigueur, le </w:t>
      </w:r>
      <w:r w:rsidRPr="006C6535">
        <w:rPr>
          <w:rFonts w:ascii="Rockwell" w:eastAsia="Times New Roman" w:hAnsi="Rockwell" w:cs="Times New Roman"/>
          <w:b/>
          <w:bCs/>
          <w:color w:val="444444"/>
          <w:sz w:val="32"/>
          <w:szCs w:val="32"/>
          <w:bdr w:val="none" w:sz="0" w:space="0" w:color="auto" w:frame="1"/>
          <w:shd w:val="clear" w:color="auto" w:fill="FFFFFF"/>
          <w:lang w:eastAsia="fr-FR"/>
        </w:rPr>
        <w:t>taux majoré</w:t>
      </w:r>
      <w:r w:rsidRPr="006C6535">
        <w:rPr>
          <w:rFonts w:ascii="Rockwell" w:eastAsia="Times New Roman" w:hAnsi="Rockwell" w:cs="Times New Roman"/>
          <w:color w:val="444444"/>
          <w:sz w:val="32"/>
          <w:szCs w:val="32"/>
          <w:shd w:val="clear" w:color="auto" w:fill="FFFFFF"/>
          <w:lang w:eastAsia="fr-FR"/>
        </w:rPr>
        <w:t> s’appliquait aux opérations réalisées par les instituts de beauté ou salons de beauté, les entrées pour des films ou pièces de théâtre à caractère pornographique ou d’incitation à la violence, certains produits de luxe (caviar, les parfums, perles et bijoux précieux) et la location de cassettes vidéos. Le taux majoré de TVA disparut avec le traité de Maastricht et l’harmonisation des TVA au sein de la Communauté européenne en 1992.</w:t>
      </w:r>
    </w:p>
    <w:p w14:paraId="4BD6BFDF" w14:textId="77777777" w:rsidR="005E3E24" w:rsidRDefault="005E3E24" w:rsidP="005E3E24">
      <w:pPr>
        <w:jc w:val="both"/>
        <w:rPr>
          <w:rFonts w:ascii="Rockwell" w:hAnsi="Rockwell"/>
          <w:sz w:val="32"/>
          <w:szCs w:val="32"/>
        </w:rPr>
      </w:pPr>
    </w:p>
    <w:p w14:paraId="088BAD79" w14:textId="77777777" w:rsidR="005E3E24" w:rsidRDefault="005E3E24" w:rsidP="005E3E24">
      <w:pPr>
        <w:jc w:val="both"/>
        <w:rPr>
          <w:rFonts w:ascii="Rockwell" w:hAnsi="Rockwell"/>
          <w:sz w:val="32"/>
          <w:szCs w:val="32"/>
        </w:rPr>
      </w:pPr>
      <w:r>
        <w:rPr>
          <w:rFonts w:ascii="Rockwell" w:hAnsi="Rockwell"/>
          <w:sz w:val="32"/>
          <w:szCs w:val="32"/>
        </w:rPr>
        <w:t>Le taux majoré a évolué entre 1968 et 1992</w:t>
      </w:r>
    </w:p>
    <w:p w14:paraId="718ABE2A" w14:textId="77777777" w:rsidR="005E3E24" w:rsidRDefault="005E3E24" w:rsidP="005E3E24">
      <w:pPr>
        <w:jc w:val="both"/>
        <w:rPr>
          <w:rFonts w:ascii="Rockwell" w:hAnsi="Rockwell"/>
          <w:sz w:val="32"/>
          <w:szCs w:val="32"/>
        </w:rPr>
      </w:pPr>
      <w:r>
        <w:rPr>
          <w:rFonts w:ascii="Rockwell" w:hAnsi="Rockwell"/>
          <w:sz w:val="32"/>
          <w:szCs w:val="32"/>
        </w:rPr>
        <w:t>1968 : 20%</w:t>
      </w:r>
    </w:p>
    <w:p w14:paraId="72AE4ED6" w14:textId="77777777" w:rsidR="005E3E24" w:rsidRDefault="005E3E24" w:rsidP="005E3E24">
      <w:pPr>
        <w:jc w:val="both"/>
        <w:rPr>
          <w:rFonts w:ascii="Rockwell" w:hAnsi="Rockwell"/>
          <w:sz w:val="32"/>
          <w:szCs w:val="32"/>
        </w:rPr>
      </w:pPr>
      <w:r>
        <w:rPr>
          <w:rFonts w:ascii="Rockwell" w:hAnsi="Rockwell"/>
          <w:sz w:val="32"/>
          <w:szCs w:val="32"/>
        </w:rPr>
        <w:t>1969 : 25%</w:t>
      </w:r>
    </w:p>
    <w:p w14:paraId="24135211" w14:textId="77777777" w:rsidR="005E3E24" w:rsidRPr="006C6535" w:rsidRDefault="005E3E24" w:rsidP="005E3E24">
      <w:pPr>
        <w:jc w:val="both"/>
        <w:rPr>
          <w:rFonts w:ascii="Rockwell" w:hAnsi="Rockwell"/>
          <w:b/>
          <w:sz w:val="32"/>
          <w:szCs w:val="32"/>
        </w:rPr>
      </w:pPr>
      <w:r w:rsidRPr="006C6535">
        <w:rPr>
          <w:rFonts w:ascii="Rockwell" w:hAnsi="Rockwell"/>
          <w:b/>
          <w:sz w:val="32"/>
          <w:szCs w:val="32"/>
        </w:rPr>
        <w:t>1970 : 33,33%</w:t>
      </w:r>
      <w:r>
        <w:rPr>
          <w:rFonts w:ascii="Rockwell" w:hAnsi="Rockwell"/>
          <w:b/>
          <w:sz w:val="32"/>
          <w:szCs w:val="32"/>
        </w:rPr>
        <w:t xml:space="preserve"> (sommum)</w:t>
      </w:r>
    </w:p>
    <w:p w14:paraId="1440266D" w14:textId="77777777" w:rsidR="005E3E24" w:rsidRDefault="005E3E24" w:rsidP="005E3E24">
      <w:pPr>
        <w:jc w:val="both"/>
        <w:rPr>
          <w:rFonts w:ascii="Rockwell" w:hAnsi="Rockwell"/>
          <w:sz w:val="32"/>
          <w:szCs w:val="32"/>
        </w:rPr>
      </w:pPr>
      <w:r>
        <w:rPr>
          <w:rFonts w:ascii="Rockwell" w:hAnsi="Rockwell"/>
          <w:sz w:val="32"/>
          <w:szCs w:val="32"/>
        </w:rPr>
        <w:t>1988 : 28%</w:t>
      </w:r>
    </w:p>
    <w:p w14:paraId="7C0EEBAD" w14:textId="77777777" w:rsidR="005E3E24" w:rsidRDefault="005E3E24" w:rsidP="005E3E24">
      <w:pPr>
        <w:jc w:val="both"/>
        <w:rPr>
          <w:rFonts w:ascii="Rockwell" w:hAnsi="Rockwell"/>
          <w:sz w:val="32"/>
          <w:szCs w:val="32"/>
        </w:rPr>
      </w:pPr>
      <w:r>
        <w:rPr>
          <w:rFonts w:ascii="Rockwell" w:hAnsi="Rockwell"/>
          <w:sz w:val="32"/>
          <w:szCs w:val="32"/>
        </w:rPr>
        <w:t>1989 : 25%</w:t>
      </w:r>
    </w:p>
    <w:p w14:paraId="63744202" w14:textId="77777777" w:rsidR="005E3E24" w:rsidRDefault="005E3E24" w:rsidP="005E3E24">
      <w:pPr>
        <w:jc w:val="both"/>
        <w:rPr>
          <w:rFonts w:ascii="Rockwell" w:hAnsi="Rockwell"/>
          <w:sz w:val="32"/>
          <w:szCs w:val="32"/>
        </w:rPr>
      </w:pPr>
      <w:r>
        <w:rPr>
          <w:rFonts w:ascii="Rockwell" w:hAnsi="Rockwell"/>
          <w:sz w:val="32"/>
          <w:szCs w:val="32"/>
        </w:rPr>
        <w:t>1992 : supprimé</w:t>
      </w:r>
    </w:p>
    <w:p w14:paraId="7E1531CC" w14:textId="77777777" w:rsidR="005E3E24" w:rsidRDefault="005E3E24" w:rsidP="005E3E24">
      <w:pPr>
        <w:jc w:val="both"/>
        <w:rPr>
          <w:rFonts w:ascii="Rockwell" w:hAnsi="Rockwell"/>
          <w:sz w:val="32"/>
          <w:szCs w:val="32"/>
        </w:rPr>
      </w:pPr>
    </w:p>
    <w:p w14:paraId="0E244E9B" w14:textId="77777777" w:rsidR="005E3E24" w:rsidRDefault="005E3E24" w:rsidP="005E3E24">
      <w:pPr>
        <w:jc w:val="both"/>
        <w:rPr>
          <w:rFonts w:ascii="Rockwell" w:hAnsi="Rockwell"/>
          <w:sz w:val="32"/>
          <w:szCs w:val="32"/>
        </w:rPr>
      </w:pPr>
    </w:p>
    <w:p w14:paraId="21E84E93" w14:textId="77777777" w:rsidR="005E3E24" w:rsidRDefault="005E3E24" w:rsidP="005E3E24">
      <w:pPr>
        <w:jc w:val="both"/>
        <w:rPr>
          <w:rFonts w:ascii="Rockwell" w:hAnsi="Rockwell"/>
          <w:sz w:val="32"/>
          <w:szCs w:val="32"/>
          <w:u w:val="single"/>
        </w:rPr>
      </w:pPr>
      <w:r w:rsidRPr="005E3E24">
        <w:rPr>
          <w:rFonts w:ascii="Rockwell" w:hAnsi="Rockwell"/>
          <w:sz w:val="32"/>
          <w:szCs w:val="32"/>
          <w:highlight w:val="yellow"/>
          <w:u w:val="single"/>
        </w:rPr>
        <w:t>B Le taux normal :</w:t>
      </w:r>
      <w:r w:rsidRPr="00455E4F">
        <w:rPr>
          <w:rFonts w:ascii="Rockwell" w:hAnsi="Rockwell"/>
          <w:sz w:val="32"/>
          <w:szCs w:val="32"/>
          <w:u w:val="single"/>
        </w:rPr>
        <w:t xml:space="preserve"> </w:t>
      </w:r>
    </w:p>
    <w:p w14:paraId="681B3511" w14:textId="77777777" w:rsidR="005E3E24" w:rsidRPr="00455E4F" w:rsidRDefault="005E3E24" w:rsidP="005E3E24">
      <w:pPr>
        <w:jc w:val="both"/>
        <w:rPr>
          <w:rFonts w:ascii="Rockwell" w:hAnsi="Rockwell"/>
          <w:sz w:val="32"/>
          <w:szCs w:val="32"/>
          <w:u w:val="single"/>
        </w:rPr>
      </w:pPr>
    </w:p>
    <w:p w14:paraId="76CFBAF1" w14:textId="77777777" w:rsidR="005E3E24" w:rsidRDefault="005E3E24" w:rsidP="005E3E24">
      <w:pPr>
        <w:jc w:val="both"/>
        <w:rPr>
          <w:rFonts w:ascii="Rockwell" w:hAnsi="Rockwell"/>
          <w:sz w:val="32"/>
          <w:szCs w:val="32"/>
        </w:rPr>
      </w:pPr>
      <w:r w:rsidRPr="005E3E24">
        <w:rPr>
          <w:rFonts w:ascii="Rockwell" w:hAnsi="Rockwell"/>
          <w:sz w:val="32"/>
          <w:szCs w:val="32"/>
          <w:highlight w:val="green"/>
        </w:rPr>
        <w:t>§1 La fixation du taux normal à 20% (article 278 du CGI)</w:t>
      </w:r>
    </w:p>
    <w:p w14:paraId="1A43B3BA" w14:textId="77777777" w:rsidR="005E3E24" w:rsidRDefault="005E3E24" w:rsidP="005E3E24">
      <w:pPr>
        <w:jc w:val="both"/>
        <w:rPr>
          <w:rFonts w:ascii="Rockwell" w:hAnsi="Rockwell"/>
          <w:sz w:val="32"/>
          <w:szCs w:val="32"/>
        </w:rPr>
      </w:pPr>
      <w:r>
        <w:rPr>
          <w:rFonts w:ascii="Rockwell" w:hAnsi="Rockwell"/>
          <w:sz w:val="32"/>
          <w:szCs w:val="32"/>
        </w:rPr>
        <w:t xml:space="preserve">Le taux a évolué </w:t>
      </w:r>
    </w:p>
    <w:p w14:paraId="3252A9EF" w14:textId="77777777" w:rsidR="005E3E24" w:rsidRDefault="005E3E24" w:rsidP="005E3E24">
      <w:pPr>
        <w:jc w:val="both"/>
        <w:rPr>
          <w:rFonts w:ascii="Rockwell" w:hAnsi="Rockwell"/>
          <w:sz w:val="32"/>
          <w:szCs w:val="32"/>
        </w:rPr>
      </w:pPr>
      <w:r>
        <w:rPr>
          <w:rFonts w:ascii="Rockwell" w:hAnsi="Rockwell"/>
          <w:sz w:val="32"/>
          <w:szCs w:val="32"/>
        </w:rPr>
        <w:t>1954 : 16,85% ou 17,60 selon l’Huma</w:t>
      </w:r>
    </w:p>
    <w:p w14:paraId="284DF49E" w14:textId="77777777" w:rsidR="005E3E24" w:rsidRDefault="005E3E24" w:rsidP="005E3E24">
      <w:pPr>
        <w:jc w:val="both"/>
        <w:rPr>
          <w:rFonts w:ascii="Rockwell" w:hAnsi="Rockwell"/>
          <w:sz w:val="32"/>
          <w:szCs w:val="32"/>
        </w:rPr>
      </w:pPr>
      <w:r>
        <w:rPr>
          <w:rFonts w:ascii="Rockwell" w:hAnsi="Rockwell"/>
          <w:sz w:val="32"/>
          <w:szCs w:val="32"/>
        </w:rPr>
        <w:t>1968 : 16,66</w:t>
      </w:r>
    </w:p>
    <w:p w14:paraId="51AE0D1E" w14:textId="77777777" w:rsidR="005E3E24" w:rsidRDefault="005E3E24" w:rsidP="005E3E24">
      <w:pPr>
        <w:jc w:val="both"/>
        <w:rPr>
          <w:rFonts w:ascii="Rockwell" w:hAnsi="Rockwell"/>
          <w:sz w:val="32"/>
          <w:szCs w:val="32"/>
        </w:rPr>
      </w:pPr>
      <w:r>
        <w:rPr>
          <w:rFonts w:ascii="Rockwell" w:hAnsi="Rockwell"/>
          <w:sz w:val="32"/>
          <w:szCs w:val="32"/>
        </w:rPr>
        <w:t>1969 : 19%</w:t>
      </w:r>
    </w:p>
    <w:p w14:paraId="1D3A08D3" w14:textId="77777777" w:rsidR="005E3E24" w:rsidRPr="00583CCD" w:rsidRDefault="005E3E24" w:rsidP="005E3E24">
      <w:pPr>
        <w:jc w:val="both"/>
        <w:rPr>
          <w:rFonts w:ascii="Rockwell" w:hAnsi="Rockwell"/>
          <w:b/>
          <w:sz w:val="32"/>
          <w:szCs w:val="32"/>
        </w:rPr>
      </w:pPr>
      <w:r w:rsidRPr="00583CCD">
        <w:rPr>
          <w:rFonts w:ascii="Rockwell" w:hAnsi="Rockwell"/>
          <w:b/>
          <w:sz w:val="32"/>
          <w:szCs w:val="32"/>
        </w:rPr>
        <w:t>1970 : 23%</w:t>
      </w:r>
      <w:r>
        <w:rPr>
          <w:rFonts w:ascii="Rockwell" w:hAnsi="Rockwell"/>
          <w:b/>
          <w:sz w:val="32"/>
          <w:szCs w:val="32"/>
        </w:rPr>
        <w:t xml:space="preserve"> (sommum)</w:t>
      </w:r>
    </w:p>
    <w:p w14:paraId="567140B9" w14:textId="77777777" w:rsidR="005E3E24" w:rsidRDefault="005E3E24" w:rsidP="005E3E24">
      <w:pPr>
        <w:jc w:val="both"/>
        <w:rPr>
          <w:rFonts w:ascii="Rockwell" w:hAnsi="Rockwell"/>
          <w:sz w:val="32"/>
          <w:szCs w:val="32"/>
        </w:rPr>
      </w:pPr>
      <w:r>
        <w:rPr>
          <w:rFonts w:ascii="Rockwell" w:hAnsi="Rockwell"/>
          <w:sz w:val="32"/>
          <w:szCs w:val="32"/>
        </w:rPr>
        <w:t>1972 : 20%</w:t>
      </w:r>
    </w:p>
    <w:p w14:paraId="51CCCA47" w14:textId="77777777" w:rsidR="005E3E24" w:rsidRDefault="005E3E24" w:rsidP="005E3E24">
      <w:pPr>
        <w:jc w:val="both"/>
        <w:rPr>
          <w:rFonts w:ascii="Rockwell" w:hAnsi="Rockwell"/>
          <w:sz w:val="32"/>
          <w:szCs w:val="32"/>
        </w:rPr>
      </w:pPr>
      <w:r>
        <w:rPr>
          <w:rFonts w:ascii="Rockwell" w:hAnsi="Rockwell"/>
          <w:sz w:val="32"/>
          <w:szCs w:val="32"/>
        </w:rPr>
        <w:t>1977 : 17,6%</w:t>
      </w:r>
    </w:p>
    <w:p w14:paraId="3878F42A" w14:textId="77777777" w:rsidR="005E3E24" w:rsidRDefault="005E3E24" w:rsidP="005E3E24">
      <w:pPr>
        <w:jc w:val="both"/>
        <w:rPr>
          <w:rFonts w:ascii="Rockwell" w:hAnsi="Rockwell"/>
          <w:sz w:val="32"/>
          <w:szCs w:val="32"/>
        </w:rPr>
      </w:pPr>
      <w:r>
        <w:rPr>
          <w:rFonts w:ascii="Rockwell" w:hAnsi="Rockwell"/>
          <w:sz w:val="32"/>
          <w:szCs w:val="32"/>
        </w:rPr>
        <w:t>1982 : 18,6%</w:t>
      </w:r>
    </w:p>
    <w:p w14:paraId="133BB817" w14:textId="77777777" w:rsidR="005E3E24" w:rsidRDefault="005E3E24" w:rsidP="005E3E24">
      <w:pPr>
        <w:jc w:val="both"/>
        <w:rPr>
          <w:rFonts w:ascii="Rockwell" w:hAnsi="Rockwell"/>
          <w:sz w:val="32"/>
          <w:szCs w:val="32"/>
        </w:rPr>
      </w:pPr>
      <w:r>
        <w:rPr>
          <w:rFonts w:ascii="Rockwell" w:hAnsi="Rockwell"/>
          <w:sz w:val="32"/>
          <w:szCs w:val="32"/>
        </w:rPr>
        <w:t>1995 : 20,6%</w:t>
      </w:r>
    </w:p>
    <w:p w14:paraId="7512131C" w14:textId="77777777" w:rsidR="005E3E24" w:rsidRDefault="005E3E24" w:rsidP="005E3E24">
      <w:pPr>
        <w:jc w:val="both"/>
        <w:rPr>
          <w:rFonts w:ascii="Rockwell" w:hAnsi="Rockwell"/>
          <w:sz w:val="32"/>
          <w:szCs w:val="32"/>
        </w:rPr>
      </w:pPr>
      <w:r>
        <w:rPr>
          <w:rFonts w:ascii="Rockwell" w:hAnsi="Rockwell"/>
          <w:sz w:val="32"/>
          <w:szCs w:val="32"/>
        </w:rPr>
        <w:t>2000 : 19,6%</w:t>
      </w:r>
    </w:p>
    <w:p w14:paraId="51740152" w14:textId="77777777" w:rsidR="005E3E24" w:rsidRDefault="005E3E24" w:rsidP="005E3E24">
      <w:pPr>
        <w:jc w:val="both"/>
        <w:rPr>
          <w:rFonts w:ascii="Rockwell" w:hAnsi="Rockwell"/>
          <w:color w:val="FF0000"/>
          <w:sz w:val="32"/>
          <w:szCs w:val="32"/>
        </w:rPr>
      </w:pPr>
      <w:r w:rsidRPr="0053733A">
        <w:rPr>
          <w:rFonts w:ascii="Rockwell" w:hAnsi="Rockwell"/>
          <w:color w:val="FF0000"/>
          <w:sz w:val="32"/>
          <w:szCs w:val="32"/>
        </w:rPr>
        <w:t>2014 : 20%</w:t>
      </w:r>
    </w:p>
    <w:p w14:paraId="6A639335" w14:textId="77777777" w:rsidR="005E3E24" w:rsidRPr="0053733A" w:rsidRDefault="005E3E24" w:rsidP="005E3E24">
      <w:pPr>
        <w:jc w:val="both"/>
        <w:rPr>
          <w:rFonts w:ascii="Rockwell" w:hAnsi="Rockwell"/>
          <w:color w:val="FF0000"/>
          <w:sz w:val="32"/>
          <w:szCs w:val="32"/>
        </w:rPr>
      </w:pPr>
    </w:p>
    <w:p w14:paraId="09135217" w14:textId="77777777" w:rsidR="005E3E24" w:rsidRDefault="005E3E24" w:rsidP="005E3E24">
      <w:pPr>
        <w:jc w:val="both"/>
        <w:rPr>
          <w:rFonts w:ascii="Rockwell" w:hAnsi="Rockwell"/>
          <w:sz w:val="32"/>
          <w:szCs w:val="32"/>
        </w:rPr>
      </w:pPr>
      <w:r w:rsidRPr="005E3E24">
        <w:rPr>
          <w:rFonts w:ascii="Rockwell" w:hAnsi="Rockwell"/>
          <w:sz w:val="32"/>
          <w:szCs w:val="32"/>
          <w:highlight w:val="green"/>
        </w:rPr>
        <w:t>§2 Un taux de droit commun</w:t>
      </w:r>
      <w:r>
        <w:rPr>
          <w:rFonts w:ascii="Rockwell" w:hAnsi="Rockwell"/>
          <w:sz w:val="32"/>
          <w:szCs w:val="32"/>
        </w:rPr>
        <w:t xml:space="preserve"> </w:t>
      </w:r>
    </w:p>
    <w:p w14:paraId="4540FD2B" w14:textId="77777777" w:rsidR="005E3E24" w:rsidRDefault="005E3E24" w:rsidP="005E3E24">
      <w:pPr>
        <w:jc w:val="both"/>
        <w:rPr>
          <w:rFonts w:ascii="Rockwell" w:hAnsi="Rockwell"/>
          <w:sz w:val="32"/>
          <w:szCs w:val="32"/>
        </w:rPr>
      </w:pPr>
      <w:r>
        <w:rPr>
          <w:rFonts w:ascii="Rockwell" w:hAnsi="Rockwell"/>
          <w:sz w:val="32"/>
          <w:szCs w:val="32"/>
        </w:rPr>
        <w:t>Il s’applique de manière obligatoire pour tous les biens et services pour lesquels rien n’est prévu de manière explicite.</w:t>
      </w:r>
    </w:p>
    <w:p w14:paraId="693D3907" w14:textId="77777777" w:rsidR="005E3E24" w:rsidRDefault="005E3E24" w:rsidP="005E3E24">
      <w:pPr>
        <w:jc w:val="both"/>
        <w:rPr>
          <w:rFonts w:ascii="Rockwell" w:hAnsi="Rockwell"/>
          <w:sz w:val="32"/>
          <w:szCs w:val="32"/>
          <w:u w:val="single"/>
        </w:rPr>
      </w:pPr>
    </w:p>
    <w:p w14:paraId="6CC1BCA6" w14:textId="77777777" w:rsidR="005E3E24" w:rsidRPr="00455E4F" w:rsidRDefault="005E3E24" w:rsidP="005E3E24">
      <w:pPr>
        <w:jc w:val="both"/>
        <w:rPr>
          <w:rFonts w:ascii="Rockwell" w:hAnsi="Rockwell"/>
          <w:sz w:val="32"/>
          <w:szCs w:val="32"/>
          <w:u w:val="single"/>
        </w:rPr>
      </w:pPr>
      <w:r w:rsidRPr="005E3E24">
        <w:rPr>
          <w:rFonts w:ascii="Rockwell" w:hAnsi="Rockwell"/>
          <w:sz w:val="32"/>
          <w:szCs w:val="32"/>
          <w:highlight w:val="yellow"/>
          <w:u w:val="single"/>
        </w:rPr>
        <w:t>C/ Les autres taux : Ce sont tous des plus petits taux</w:t>
      </w:r>
    </w:p>
    <w:p w14:paraId="5F6F16DA" w14:textId="77777777" w:rsidR="005E3E24" w:rsidRDefault="005E3E24" w:rsidP="005E3E24">
      <w:pPr>
        <w:jc w:val="both"/>
        <w:rPr>
          <w:rFonts w:ascii="Rockwell" w:hAnsi="Rockwell"/>
          <w:sz w:val="32"/>
          <w:szCs w:val="32"/>
        </w:rPr>
      </w:pPr>
    </w:p>
    <w:p w14:paraId="43CC8E6C" w14:textId="77777777" w:rsidR="005E3E24" w:rsidRDefault="005E3E24" w:rsidP="005E3E24">
      <w:pPr>
        <w:jc w:val="both"/>
        <w:rPr>
          <w:rFonts w:ascii="Rockwell" w:hAnsi="Rockwell"/>
          <w:sz w:val="32"/>
          <w:szCs w:val="32"/>
        </w:rPr>
      </w:pPr>
      <w:r w:rsidRPr="005E3E24">
        <w:rPr>
          <w:rFonts w:ascii="Rockwell" w:hAnsi="Rockwell"/>
          <w:sz w:val="32"/>
          <w:szCs w:val="32"/>
          <w:highlight w:val="green"/>
        </w:rPr>
        <w:t>§1 Les taux réduits :</w:t>
      </w:r>
    </w:p>
    <w:p w14:paraId="1980AE49" w14:textId="77777777" w:rsidR="005E3E24" w:rsidRDefault="005E3E24" w:rsidP="005E3E24">
      <w:pPr>
        <w:jc w:val="both"/>
        <w:rPr>
          <w:rFonts w:ascii="Rockwell" w:hAnsi="Rockwell"/>
          <w:sz w:val="32"/>
          <w:szCs w:val="32"/>
        </w:rPr>
      </w:pPr>
    </w:p>
    <w:p w14:paraId="78AAF351" w14:textId="77777777" w:rsidR="005E3E24" w:rsidRDefault="005E3E24" w:rsidP="005E3E24">
      <w:pPr>
        <w:jc w:val="both"/>
        <w:rPr>
          <w:rFonts w:ascii="Rockwell" w:hAnsi="Rockwell"/>
          <w:sz w:val="32"/>
          <w:szCs w:val="32"/>
        </w:rPr>
      </w:pPr>
      <w:r w:rsidRPr="005E3E24">
        <w:rPr>
          <w:rFonts w:ascii="Rockwell" w:hAnsi="Rockwell"/>
          <w:sz w:val="32"/>
          <w:szCs w:val="32"/>
          <w:highlight w:val="cyan"/>
        </w:rPr>
        <w:t>a) Le taux intermédiaire :</w:t>
      </w:r>
      <w:r>
        <w:rPr>
          <w:rFonts w:ascii="Rockwell" w:hAnsi="Rockwell"/>
          <w:sz w:val="32"/>
          <w:szCs w:val="32"/>
        </w:rPr>
        <w:t xml:space="preserve"> </w:t>
      </w:r>
    </w:p>
    <w:p w14:paraId="51457198"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Restauration (pour consommation immédiate)</w:t>
      </w:r>
    </w:p>
    <w:p w14:paraId="7023C821"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Aide à la personne</w:t>
      </w:r>
    </w:p>
    <w:p w14:paraId="27C19A1E"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Hébergement et transport</w:t>
      </w:r>
    </w:p>
    <w:p w14:paraId="49423BC0"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Produits agricoles non transformés et bois de chauffage</w:t>
      </w:r>
    </w:p>
    <w:p w14:paraId="0CFB2033"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Médicaments non remboursés</w:t>
      </w:r>
    </w:p>
    <w:p w14:paraId="190F0A23" w14:textId="77777777" w:rsidR="005E3E24" w:rsidRPr="005B04D0"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Travaux et réparation pour les </w:t>
      </w:r>
      <w:r w:rsidRPr="005B04D0">
        <w:rPr>
          <w:rFonts w:ascii="inherit" w:eastAsia="Times New Roman" w:hAnsi="inherit" w:cs="Times New Roman"/>
          <w:b/>
          <w:bCs/>
          <w:color w:val="666666"/>
          <w:sz w:val="27"/>
          <w:szCs w:val="27"/>
          <w:bdr w:val="none" w:sz="0" w:space="0" w:color="auto" w:frame="1"/>
          <w:lang w:eastAsia="fr-FR"/>
        </w:rPr>
        <w:t>logements anciens (plus de deux ans)</w:t>
      </w:r>
      <w:r>
        <w:rPr>
          <w:rFonts w:ascii="inherit" w:eastAsia="Times New Roman" w:hAnsi="inherit" w:cs="Times New Roman"/>
          <w:b/>
          <w:bCs/>
          <w:color w:val="666666"/>
          <w:sz w:val="27"/>
          <w:szCs w:val="27"/>
          <w:bdr w:val="none" w:sz="0" w:space="0" w:color="auto" w:frame="1"/>
          <w:lang w:eastAsia="fr-FR"/>
        </w:rPr>
        <w:t xml:space="preserve"> pour lesquels le taux de 5,5% n</w:t>
      </w:r>
      <w:r>
        <w:rPr>
          <w:rFonts w:ascii="inherit" w:eastAsia="Times New Roman" w:hAnsi="inherit" w:cs="Times New Roman" w:hint="eastAsia"/>
          <w:b/>
          <w:bCs/>
          <w:color w:val="666666"/>
          <w:sz w:val="27"/>
          <w:szCs w:val="27"/>
          <w:bdr w:val="none" w:sz="0" w:space="0" w:color="auto" w:frame="1"/>
          <w:lang w:eastAsia="fr-FR"/>
        </w:rPr>
        <w:t>’</w:t>
      </w:r>
      <w:r>
        <w:rPr>
          <w:rFonts w:ascii="inherit" w:eastAsia="Times New Roman" w:hAnsi="inherit" w:cs="Times New Roman"/>
          <w:b/>
          <w:bCs/>
          <w:color w:val="666666"/>
          <w:sz w:val="27"/>
          <w:szCs w:val="27"/>
          <w:bdr w:val="none" w:sz="0" w:space="0" w:color="auto" w:frame="1"/>
          <w:lang w:eastAsia="fr-FR"/>
        </w:rPr>
        <w:t>est pas applicable.</w:t>
      </w:r>
    </w:p>
    <w:p w14:paraId="7104B0BC" w14:textId="77777777" w:rsidR="005E3E24" w:rsidRDefault="005E3E24" w:rsidP="005E3E24">
      <w:pPr>
        <w:numPr>
          <w:ilvl w:val="0"/>
          <w:numId w:val="1"/>
        </w:numPr>
        <w:shd w:val="clear" w:color="auto" w:fill="FFFFFF"/>
        <w:ind w:left="450"/>
        <w:textAlignment w:val="baseline"/>
        <w:rPr>
          <w:rFonts w:ascii="Roboto Condensed" w:eastAsia="Times New Roman" w:hAnsi="Roboto Condensed" w:cs="Times New Roman"/>
          <w:color w:val="666666"/>
          <w:sz w:val="27"/>
          <w:szCs w:val="27"/>
          <w:lang w:eastAsia="fr-FR"/>
        </w:rPr>
      </w:pPr>
      <w:r w:rsidRPr="005B04D0">
        <w:rPr>
          <w:rFonts w:ascii="Roboto Condensed" w:eastAsia="Times New Roman" w:hAnsi="Roboto Condensed" w:cs="Times New Roman"/>
          <w:color w:val="666666"/>
          <w:sz w:val="27"/>
          <w:szCs w:val="27"/>
          <w:lang w:eastAsia="fr-FR"/>
        </w:rPr>
        <w:t>Musées et zoos</w:t>
      </w:r>
    </w:p>
    <w:p w14:paraId="5BFD1C33" w14:textId="77777777" w:rsidR="005E3E24" w:rsidRPr="005B04D0" w:rsidRDefault="005E3E24" w:rsidP="005E3E24">
      <w:pPr>
        <w:shd w:val="clear" w:color="auto" w:fill="FFFFFF"/>
        <w:textAlignment w:val="baseline"/>
        <w:rPr>
          <w:rFonts w:ascii="Roboto Condensed" w:eastAsia="Times New Roman" w:hAnsi="Roboto Condensed" w:cs="Times New Roman"/>
          <w:color w:val="666666"/>
          <w:sz w:val="27"/>
          <w:szCs w:val="27"/>
          <w:lang w:eastAsia="fr-FR"/>
        </w:rPr>
      </w:pPr>
    </w:p>
    <w:p w14:paraId="182FACC4" w14:textId="77777777" w:rsidR="005E3E24" w:rsidRDefault="005E3E24" w:rsidP="005E3E24">
      <w:pPr>
        <w:jc w:val="both"/>
        <w:rPr>
          <w:rFonts w:ascii="Rockwell" w:hAnsi="Rockwell"/>
          <w:sz w:val="32"/>
          <w:szCs w:val="32"/>
        </w:rPr>
      </w:pPr>
      <w:r>
        <w:rPr>
          <w:rFonts w:ascii="Rockwell" w:hAnsi="Rockwell"/>
          <w:sz w:val="32"/>
          <w:szCs w:val="32"/>
        </w:rPr>
        <w:t xml:space="preserve">Evolution </w:t>
      </w:r>
    </w:p>
    <w:p w14:paraId="7803A5AE" w14:textId="77777777" w:rsidR="005E3E24" w:rsidRDefault="005E3E24" w:rsidP="005E3E24">
      <w:pPr>
        <w:jc w:val="both"/>
        <w:rPr>
          <w:rFonts w:ascii="Rockwell" w:hAnsi="Rockwell"/>
          <w:sz w:val="32"/>
          <w:szCs w:val="32"/>
        </w:rPr>
      </w:pPr>
      <w:r>
        <w:rPr>
          <w:rFonts w:ascii="Rockwell" w:hAnsi="Rockwell"/>
          <w:sz w:val="32"/>
          <w:szCs w:val="32"/>
        </w:rPr>
        <w:t>1954 : 7,5%</w:t>
      </w:r>
    </w:p>
    <w:p w14:paraId="3EF7F32E" w14:textId="77777777" w:rsidR="005E3E24" w:rsidRDefault="005E3E24" w:rsidP="005E3E24">
      <w:pPr>
        <w:jc w:val="both"/>
        <w:rPr>
          <w:rFonts w:ascii="Rockwell" w:hAnsi="Rockwell"/>
          <w:sz w:val="32"/>
          <w:szCs w:val="32"/>
        </w:rPr>
      </w:pPr>
      <w:r>
        <w:rPr>
          <w:rFonts w:ascii="Rockwell" w:hAnsi="Rockwell"/>
          <w:sz w:val="32"/>
          <w:szCs w:val="32"/>
        </w:rPr>
        <w:t>1968 : 13%</w:t>
      </w:r>
    </w:p>
    <w:p w14:paraId="49390600" w14:textId="77777777" w:rsidR="005E3E24" w:rsidRDefault="005E3E24" w:rsidP="005E3E24">
      <w:pPr>
        <w:jc w:val="both"/>
        <w:rPr>
          <w:rFonts w:ascii="Rockwell" w:hAnsi="Rockwell"/>
          <w:sz w:val="32"/>
          <w:szCs w:val="32"/>
        </w:rPr>
      </w:pPr>
      <w:r>
        <w:rPr>
          <w:rFonts w:ascii="Rockwell" w:hAnsi="Rockwell"/>
          <w:sz w:val="32"/>
          <w:szCs w:val="32"/>
        </w:rPr>
        <w:t>1969 : 15%</w:t>
      </w:r>
    </w:p>
    <w:p w14:paraId="2BA8031F" w14:textId="77777777" w:rsidR="005E3E24" w:rsidRDefault="005E3E24" w:rsidP="005E3E24">
      <w:pPr>
        <w:jc w:val="both"/>
        <w:rPr>
          <w:rFonts w:ascii="Rockwell" w:hAnsi="Rockwell"/>
          <w:sz w:val="32"/>
          <w:szCs w:val="32"/>
        </w:rPr>
      </w:pPr>
      <w:r>
        <w:rPr>
          <w:rFonts w:ascii="Rockwell" w:hAnsi="Rockwell"/>
          <w:sz w:val="32"/>
          <w:szCs w:val="32"/>
        </w:rPr>
        <w:t>1970 : 17,6%</w:t>
      </w:r>
    </w:p>
    <w:p w14:paraId="678C7CEC" w14:textId="77777777" w:rsidR="005E3E24" w:rsidRDefault="005E3E24" w:rsidP="005E3E24">
      <w:pPr>
        <w:jc w:val="both"/>
        <w:rPr>
          <w:rFonts w:ascii="Rockwell" w:hAnsi="Rockwell"/>
          <w:sz w:val="32"/>
          <w:szCs w:val="32"/>
        </w:rPr>
      </w:pPr>
      <w:r>
        <w:rPr>
          <w:rFonts w:ascii="Rockwell" w:hAnsi="Rockwell"/>
          <w:sz w:val="32"/>
          <w:szCs w:val="32"/>
        </w:rPr>
        <w:t>1977 : supprimé</w:t>
      </w:r>
    </w:p>
    <w:p w14:paraId="13A16093" w14:textId="77777777" w:rsidR="005E3E24" w:rsidRDefault="005E3E24" w:rsidP="005E3E24">
      <w:pPr>
        <w:jc w:val="both"/>
        <w:rPr>
          <w:rFonts w:ascii="Rockwell" w:hAnsi="Rockwell"/>
          <w:sz w:val="32"/>
          <w:szCs w:val="32"/>
        </w:rPr>
      </w:pPr>
      <w:r>
        <w:rPr>
          <w:rFonts w:ascii="Rockwell" w:hAnsi="Rockwell"/>
          <w:sz w:val="32"/>
          <w:szCs w:val="32"/>
        </w:rPr>
        <w:t>2012 : 7%</w:t>
      </w:r>
    </w:p>
    <w:p w14:paraId="31029E07" w14:textId="77777777" w:rsidR="005E3E24" w:rsidRPr="0053733A" w:rsidRDefault="005E3E24" w:rsidP="005E3E24">
      <w:pPr>
        <w:jc w:val="both"/>
        <w:rPr>
          <w:rFonts w:ascii="Rockwell" w:hAnsi="Rockwell"/>
          <w:color w:val="FF0000"/>
          <w:sz w:val="32"/>
          <w:szCs w:val="32"/>
        </w:rPr>
      </w:pPr>
      <w:r w:rsidRPr="0053733A">
        <w:rPr>
          <w:rFonts w:ascii="Rockwell" w:hAnsi="Rockwell"/>
          <w:color w:val="FF0000"/>
          <w:sz w:val="32"/>
          <w:szCs w:val="32"/>
        </w:rPr>
        <w:t>2014 : 10%</w:t>
      </w:r>
    </w:p>
    <w:p w14:paraId="4C7535FA" w14:textId="77777777" w:rsidR="005E3E24" w:rsidRDefault="005E3E24" w:rsidP="005E3E24">
      <w:pPr>
        <w:jc w:val="both"/>
        <w:rPr>
          <w:rFonts w:ascii="Rockwell" w:hAnsi="Rockwell"/>
          <w:sz w:val="32"/>
          <w:szCs w:val="32"/>
        </w:rPr>
      </w:pPr>
    </w:p>
    <w:p w14:paraId="47A4A3F1" w14:textId="77777777" w:rsidR="005E3E24" w:rsidRDefault="005E3E24" w:rsidP="005E3E24">
      <w:pPr>
        <w:jc w:val="both"/>
        <w:rPr>
          <w:rFonts w:ascii="Rockwell" w:hAnsi="Rockwell"/>
          <w:sz w:val="32"/>
          <w:szCs w:val="32"/>
        </w:rPr>
      </w:pPr>
      <w:r w:rsidRPr="005E3E24">
        <w:rPr>
          <w:rFonts w:ascii="Rockwell" w:hAnsi="Rockwell"/>
          <w:sz w:val="32"/>
          <w:szCs w:val="32"/>
          <w:highlight w:val="cyan"/>
        </w:rPr>
        <w:t>b) Le petit taux réduit qu’il faut appeler tout simplement LE taux réduit :</w:t>
      </w:r>
    </w:p>
    <w:p w14:paraId="12323284" w14:textId="77777777" w:rsidR="005E3E24" w:rsidRDefault="005E3E24" w:rsidP="005E3E24">
      <w:pPr>
        <w:jc w:val="both"/>
        <w:rPr>
          <w:rFonts w:ascii="Rockwell" w:hAnsi="Rockwell"/>
          <w:sz w:val="32"/>
          <w:szCs w:val="32"/>
        </w:rPr>
      </w:pPr>
    </w:p>
    <w:p w14:paraId="2AC89CE3" w14:textId="77777777" w:rsidR="005E3E24" w:rsidRDefault="005E3E24" w:rsidP="005E3E24">
      <w:pPr>
        <w:jc w:val="both"/>
        <w:rPr>
          <w:rFonts w:ascii="Rockwell" w:hAnsi="Rockwell"/>
          <w:sz w:val="32"/>
          <w:szCs w:val="32"/>
        </w:rPr>
      </w:pPr>
      <w:r>
        <w:rPr>
          <w:rFonts w:ascii="Rockwell" w:hAnsi="Rockwell"/>
          <w:sz w:val="32"/>
          <w:szCs w:val="32"/>
        </w:rPr>
        <w:t>Évolution :</w:t>
      </w:r>
    </w:p>
    <w:p w14:paraId="6D378D60" w14:textId="77777777" w:rsidR="005E3E24" w:rsidRDefault="005E3E24" w:rsidP="005E3E24">
      <w:pPr>
        <w:jc w:val="both"/>
        <w:rPr>
          <w:rFonts w:ascii="Rockwell" w:hAnsi="Rockwell"/>
          <w:sz w:val="32"/>
          <w:szCs w:val="32"/>
        </w:rPr>
      </w:pPr>
      <w:r>
        <w:rPr>
          <w:rFonts w:ascii="Rockwell" w:hAnsi="Rockwell"/>
          <w:sz w:val="32"/>
          <w:szCs w:val="32"/>
        </w:rPr>
        <w:t>1954 : 7,5%</w:t>
      </w:r>
    </w:p>
    <w:p w14:paraId="07377EB6" w14:textId="77777777" w:rsidR="005E3E24" w:rsidRDefault="005E3E24" w:rsidP="005E3E24">
      <w:pPr>
        <w:jc w:val="both"/>
        <w:rPr>
          <w:rFonts w:ascii="Rockwell" w:hAnsi="Rockwell"/>
          <w:sz w:val="32"/>
          <w:szCs w:val="32"/>
        </w:rPr>
      </w:pPr>
      <w:r>
        <w:rPr>
          <w:rFonts w:ascii="Rockwell" w:hAnsi="Rockwell"/>
          <w:sz w:val="32"/>
          <w:szCs w:val="32"/>
        </w:rPr>
        <w:t>1968 : 6%</w:t>
      </w:r>
    </w:p>
    <w:p w14:paraId="7704AFB5" w14:textId="77777777" w:rsidR="005E3E24" w:rsidRDefault="005E3E24" w:rsidP="005E3E24">
      <w:pPr>
        <w:jc w:val="both"/>
        <w:rPr>
          <w:rFonts w:ascii="Rockwell" w:hAnsi="Rockwell"/>
          <w:sz w:val="32"/>
          <w:szCs w:val="32"/>
        </w:rPr>
      </w:pPr>
      <w:r>
        <w:rPr>
          <w:rFonts w:ascii="Rockwell" w:hAnsi="Rockwell"/>
          <w:sz w:val="32"/>
          <w:szCs w:val="32"/>
        </w:rPr>
        <w:t>1969 : 7%</w:t>
      </w:r>
    </w:p>
    <w:p w14:paraId="09D59750" w14:textId="77777777" w:rsidR="005E3E24" w:rsidRDefault="005E3E24" w:rsidP="005E3E24">
      <w:pPr>
        <w:jc w:val="both"/>
        <w:rPr>
          <w:rFonts w:ascii="Rockwell" w:hAnsi="Rockwell"/>
          <w:sz w:val="32"/>
          <w:szCs w:val="32"/>
        </w:rPr>
      </w:pPr>
      <w:r>
        <w:rPr>
          <w:rFonts w:ascii="Rockwell" w:hAnsi="Rockwell"/>
          <w:sz w:val="32"/>
          <w:szCs w:val="32"/>
        </w:rPr>
        <w:t>1970 : 7,5%</w:t>
      </w:r>
    </w:p>
    <w:p w14:paraId="621A828C" w14:textId="77777777" w:rsidR="005E3E24" w:rsidRDefault="005E3E24" w:rsidP="005E3E24">
      <w:pPr>
        <w:jc w:val="both"/>
        <w:rPr>
          <w:rFonts w:ascii="Rockwell" w:hAnsi="Rockwell"/>
          <w:sz w:val="32"/>
          <w:szCs w:val="32"/>
        </w:rPr>
      </w:pPr>
      <w:r>
        <w:rPr>
          <w:rFonts w:ascii="Rockwell" w:hAnsi="Rockwell"/>
          <w:sz w:val="32"/>
          <w:szCs w:val="32"/>
        </w:rPr>
        <w:t>1972 : 7%</w:t>
      </w:r>
    </w:p>
    <w:p w14:paraId="2E0F0E53" w14:textId="77777777" w:rsidR="005E3E24" w:rsidRPr="0053733A" w:rsidRDefault="005E3E24" w:rsidP="005E3E24">
      <w:pPr>
        <w:jc w:val="both"/>
        <w:rPr>
          <w:rFonts w:ascii="Rockwell" w:hAnsi="Rockwell"/>
          <w:color w:val="FF0000"/>
          <w:sz w:val="32"/>
          <w:szCs w:val="32"/>
        </w:rPr>
      </w:pPr>
      <w:r w:rsidRPr="0053733A">
        <w:rPr>
          <w:rFonts w:ascii="Rockwell" w:hAnsi="Rockwell"/>
          <w:color w:val="FF0000"/>
          <w:sz w:val="32"/>
          <w:szCs w:val="32"/>
        </w:rPr>
        <w:t>1992 = 5,5%</w:t>
      </w:r>
    </w:p>
    <w:p w14:paraId="12A55B59" w14:textId="77777777" w:rsidR="005E3E24" w:rsidRDefault="005E3E24" w:rsidP="005E3E24">
      <w:pPr>
        <w:jc w:val="both"/>
        <w:rPr>
          <w:rFonts w:ascii="Rockwell" w:hAnsi="Rockwell"/>
          <w:sz w:val="32"/>
          <w:szCs w:val="32"/>
        </w:rPr>
      </w:pPr>
      <w:r>
        <w:rPr>
          <w:rFonts w:ascii="Rockwell" w:hAnsi="Rockwell"/>
          <w:sz w:val="32"/>
          <w:szCs w:val="32"/>
        </w:rPr>
        <w:t xml:space="preserve">Il porte sur les produits de base ainsi que sur les abonnements électricité et gaz. Les livres, les spectacles vivants et le cinéma, l’eau, les équipements destinés aux personnes handicapées, cantines scolaires, les travaux d’amélioration de la qualité énergétique des logements. Exemple du chocolat. </w:t>
      </w:r>
    </w:p>
    <w:p w14:paraId="6CAE2CF6" w14:textId="77777777" w:rsidR="005E3E24" w:rsidRDefault="005E3E24" w:rsidP="005E3E24">
      <w:pPr>
        <w:jc w:val="both"/>
        <w:rPr>
          <w:rFonts w:ascii="Rockwell" w:hAnsi="Rockwell"/>
          <w:sz w:val="32"/>
          <w:szCs w:val="32"/>
        </w:rPr>
      </w:pPr>
    </w:p>
    <w:p w14:paraId="70FFCC14" w14:textId="77777777" w:rsidR="005E3E24" w:rsidRDefault="005E3E24" w:rsidP="005E3E24">
      <w:pPr>
        <w:jc w:val="both"/>
        <w:rPr>
          <w:rFonts w:ascii="Rockwell" w:hAnsi="Rockwell"/>
          <w:sz w:val="32"/>
          <w:szCs w:val="32"/>
        </w:rPr>
      </w:pPr>
    </w:p>
    <w:p w14:paraId="20451F11" w14:textId="77777777" w:rsidR="005E3E24" w:rsidRDefault="005E3E24" w:rsidP="005E3E24">
      <w:pPr>
        <w:jc w:val="both"/>
        <w:rPr>
          <w:rFonts w:ascii="Rockwell" w:hAnsi="Rockwell"/>
          <w:sz w:val="32"/>
          <w:szCs w:val="32"/>
        </w:rPr>
      </w:pPr>
    </w:p>
    <w:p w14:paraId="16C59623" w14:textId="77777777" w:rsidR="005E3E24" w:rsidRDefault="005E3E24" w:rsidP="005E3E24">
      <w:pPr>
        <w:jc w:val="both"/>
        <w:rPr>
          <w:rFonts w:ascii="Rockwell" w:hAnsi="Rockwell"/>
          <w:sz w:val="32"/>
          <w:szCs w:val="32"/>
        </w:rPr>
      </w:pPr>
      <w:r w:rsidRPr="005E3E24">
        <w:rPr>
          <w:rFonts w:ascii="Rockwell" w:hAnsi="Rockwell"/>
          <w:sz w:val="32"/>
          <w:szCs w:val="32"/>
          <w:highlight w:val="green"/>
        </w:rPr>
        <w:t>§2 Le taux super-réduit ou taux particulier :</w:t>
      </w:r>
    </w:p>
    <w:p w14:paraId="351D70B7" w14:textId="77777777" w:rsidR="005E3E24" w:rsidRDefault="005E3E24" w:rsidP="005E3E24">
      <w:pPr>
        <w:jc w:val="both"/>
        <w:rPr>
          <w:rFonts w:ascii="Rockwell" w:hAnsi="Rockwell"/>
          <w:sz w:val="32"/>
          <w:szCs w:val="32"/>
        </w:rPr>
      </w:pPr>
    </w:p>
    <w:p w14:paraId="4579F891" w14:textId="77777777" w:rsidR="005E3E24" w:rsidRPr="0053733A" w:rsidRDefault="005E3E24" w:rsidP="005E3E24">
      <w:pPr>
        <w:jc w:val="both"/>
        <w:rPr>
          <w:rFonts w:ascii="Rockwell" w:hAnsi="Rockwell"/>
          <w:color w:val="FF0000"/>
          <w:sz w:val="32"/>
          <w:szCs w:val="32"/>
        </w:rPr>
      </w:pPr>
      <w:r>
        <w:rPr>
          <w:rFonts w:ascii="Rockwell" w:hAnsi="Rockwell"/>
          <w:sz w:val="32"/>
          <w:szCs w:val="32"/>
        </w:rPr>
        <w:t xml:space="preserve">Créé en 1982, il est fixé d’abord à 5,5%, il est </w:t>
      </w:r>
      <w:r w:rsidRPr="0053733A">
        <w:rPr>
          <w:rFonts w:ascii="Rockwell" w:hAnsi="Rockwell"/>
          <w:color w:val="FF0000"/>
          <w:sz w:val="32"/>
          <w:szCs w:val="32"/>
        </w:rPr>
        <w:t xml:space="preserve">abaissé à 2,1% à partir de 1989 et ne sera pas modifié. </w:t>
      </w:r>
    </w:p>
    <w:p w14:paraId="7341B594" w14:textId="77777777" w:rsidR="005E3E24" w:rsidRDefault="005E3E24" w:rsidP="005E3E24">
      <w:pPr>
        <w:jc w:val="both"/>
        <w:rPr>
          <w:rFonts w:ascii="Rockwell" w:hAnsi="Rockwell"/>
          <w:sz w:val="32"/>
          <w:szCs w:val="32"/>
        </w:rPr>
      </w:pPr>
      <w:r>
        <w:rPr>
          <w:rFonts w:ascii="Rockwell" w:hAnsi="Rockwell"/>
          <w:sz w:val="32"/>
          <w:szCs w:val="32"/>
        </w:rPr>
        <w:t xml:space="preserve">Porte sur la presse quotidienne papier, les médicaments remboursés, les nouveaux spectacles, la contribution à l’audiovisuel public. </w:t>
      </w:r>
    </w:p>
    <w:p w14:paraId="3ADFE5FA" w14:textId="77777777" w:rsidR="005E3E24" w:rsidRDefault="005E3E24" w:rsidP="005E3E24">
      <w:pPr>
        <w:jc w:val="both"/>
        <w:rPr>
          <w:rFonts w:ascii="Rockwell" w:hAnsi="Rockwell"/>
          <w:sz w:val="32"/>
          <w:szCs w:val="32"/>
        </w:rPr>
      </w:pPr>
    </w:p>
    <w:p w14:paraId="3A86815C" w14:textId="77777777" w:rsidR="005E3E24" w:rsidRDefault="005E3E24" w:rsidP="005E3E24">
      <w:pPr>
        <w:jc w:val="both"/>
        <w:rPr>
          <w:rFonts w:ascii="Rockwell" w:hAnsi="Rockwell"/>
          <w:sz w:val="32"/>
          <w:szCs w:val="32"/>
        </w:rPr>
      </w:pPr>
      <w:r w:rsidRPr="005E3E24">
        <w:rPr>
          <w:rFonts w:ascii="Rockwell" w:hAnsi="Rockwell"/>
          <w:sz w:val="32"/>
          <w:szCs w:val="32"/>
          <w:highlight w:val="green"/>
        </w:rPr>
        <w:t>§3 Les autres taux destinés à tenir compte de la spécificité de certains territoires : La Corse et les DOM.</w:t>
      </w:r>
      <w:r>
        <w:rPr>
          <w:rFonts w:ascii="Rockwell" w:hAnsi="Rockwell"/>
          <w:sz w:val="32"/>
          <w:szCs w:val="32"/>
        </w:rPr>
        <w:t xml:space="preserve"> </w:t>
      </w:r>
    </w:p>
    <w:p w14:paraId="551D8295" w14:textId="77777777" w:rsidR="005E3E24" w:rsidRDefault="005E3E24" w:rsidP="005E3E24">
      <w:pPr>
        <w:jc w:val="both"/>
        <w:rPr>
          <w:rFonts w:ascii="Rockwell" w:hAnsi="Rockwell"/>
          <w:sz w:val="32"/>
          <w:szCs w:val="32"/>
        </w:rPr>
      </w:pPr>
    </w:p>
    <w:p w14:paraId="68277800" w14:textId="77777777" w:rsidR="005E3E24" w:rsidRDefault="005E3E24" w:rsidP="005E3E24">
      <w:pPr>
        <w:jc w:val="both"/>
        <w:rPr>
          <w:rFonts w:ascii="Rockwell" w:hAnsi="Rockwell"/>
          <w:sz w:val="32"/>
          <w:szCs w:val="32"/>
        </w:rPr>
      </w:pPr>
      <w:r>
        <w:rPr>
          <w:rFonts w:ascii="Rockwell" w:hAnsi="Rockwell"/>
          <w:sz w:val="32"/>
          <w:szCs w:val="32"/>
        </w:rPr>
        <w:t>a)</w:t>
      </w:r>
      <w:r>
        <w:rPr>
          <w:rFonts w:ascii="Rockwell" w:hAnsi="Rockwell"/>
          <w:sz w:val="32"/>
          <w:szCs w:val="32"/>
        </w:rPr>
        <w:t xml:space="preserve"> </w:t>
      </w:r>
      <w:r>
        <w:rPr>
          <w:rFonts w:ascii="Rockwell" w:hAnsi="Rockwell"/>
          <w:sz w:val="32"/>
          <w:szCs w:val="32"/>
        </w:rPr>
        <w:t xml:space="preserve">Par exemple le taux normal est de 8,5% </w:t>
      </w:r>
      <w:r w:rsidRPr="005E3E24">
        <w:rPr>
          <w:rFonts w:ascii="Rockwell" w:hAnsi="Rockwell"/>
          <w:sz w:val="32"/>
          <w:szCs w:val="32"/>
          <w:highlight w:val="cyan"/>
        </w:rPr>
        <w:t>dans les DOM</w:t>
      </w:r>
      <w:r>
        <w:rPr>
          <w:rFonts w:ascii="Rockwell" w:hAnsi="Rockwell"/>
          <w:sz w:val="32"/>
          <w:szCs w:val="32"/>
        </w:rPr>
        <w:t xml:space="preserve"> et le taux intermédiaire est à 2,10 dans les DOM. Les DOM ont également des taux super-réduits de 1,75% et de 1,05%.</w:t>
      </w:r>
    </w:p>
    <w:p w14:paraId="4D338B17" w14:textId="77777777" w:rsidR="005E3E24" w:rsidRDefault="005E3E24" w:rsidP="005E3E24">
      <w:pPr>
        <w:jc w:val="both"/>
        <w:rPr>
          <w:rFonts w:ascii="Rockwell" w:hAnsi="Rockwell"/>
          <w:sz w:val="32"/>
          <w:szCs w:val="32"/>
        </w:rPr>
      </w:pPr>
    </w:p>
    <w:p w14:paraId="4D6BCB32" w14:textId="77777777" w:rsidR="005E3E24" w:rsidRDefault="005E3E24" w:rsidP="005E3E24">
      <w:pPr>
        <w:jc w:val="both"/>
        <w:rPr>
          <w:rFonts w:ascii="Rockwell" w:hAnsi="Rockwell"/>
          <w:sz w:val="32"/>
          <w:szCs w:val="32"/>
        </w:rPr>
      </w:pPr>
      <w:r>
        <w:rPr>
          <w:rFonts w:ascii="Rockwell" w:hAnsi="Rockwell"/>
          <w:sz w:val="32"/>
          <w:szCs w:val="32"/>
        </w:rPr>
        <w:t>b)</w:t>
      </w:r>
      <w:r>
        <w:rPr>
          <w:rFonts w:ascii="Rockwell" w:hAnsi="Rockwell"/>
          <w:sz w:val="32"/>
          <w:szCs w:val="32"/>
        </w:rPr>
        <w:t xml:space="preserve"> </w:t>
      </w:r>
      <w:r w:rsidRPr="005E3E24">
        <w:rPr>
          <w:rFonts w:ascii="Rockwell" w:hAnsi="Rockwell"/>
          <w:sz w:val="32"/>
          <w:szCs w:val="32"/>
          <w:highlight w:val="cyan"/>
        </w:rPr>
        <w:t>Pour la Corse,</w:t>
      </w:r>
      <w:r>
        <w:rPr>
          <w:rFonts w:ascii="Rockwell" w:hAnsi="Rockwell"/>
          <w:sz w:val="32"/>
          <w:szCs w:val="32"/>
        </w:rPr>
        <w:t xml:space="preserve"> le taux normal est de 20% sauf 13% pour les produits pétroliers. Le taux de 10% s’applique aux travaux immobiliers, le matériel agricole, les locations en meublé, les ventes à consommer sur place et les ventes d’électricité en basse tension. </w:t>
      </w:r>
    </w:p>
    <w:p w14:paraId="3B5F0ED6" w14:textId="77777777" w:rsidR="005E3E24" w:rsidRDefault="005E3E24" w:rsidP="005E3E24">
      <w:pPr>
        <w:jc w:val="both"/>
        <w:rPr>
          <w:rFonts w:ascii="Rockwell" w:hAnsi="Rockwell"/>
          <w:sz w:val="32"/>
          <w:szCs w:val="32"/>
        </w:rPr>
      </w:pPr>
      <w:r>
        <w:rPr>
          <w:rFonts w:ascii="Rockwell" w:hAnsi="Rockwell"/>
          <w:sz w:val="32"/>
          <w:szCs w:val="32"/>
        </w:rPr>
        <w:t>Le taux de 2,10% s’applique pour certains biens livrés en Corse.</w:t>
      </w:r>
    </w:p>
    <w:p w14:paraId="48C90122" w14:textId="77777777" w:rsidR="005E3E24" w:rsidRDefault="005E3E24" w:rsidP="005E3E24">
      <w:pPr>
        <w:jc w:val="both"/>
        <w:rPr>
          <w:rFonts w:ascii="Rockwell" w:hAnsi="Rockwell"/>
          <w:sz w:val="32"/>
          <w:szCs w:val="32"/>
        </w:rPr>
      </w:pPr>
      <w:r>
        <w:rPr>
          <w:rFonts w:ascii="Rockwell" w:hAnsi="Rockwell"/>
          <w:sz w:val="32"/>
          <w:szCs w:val="32"/>
        </w:rPr>
        <w:t>Dans certains cas rares, on trouve même un taux super-super-réduit de 0,90% pour les premières représentations de certains spectacles.</w:t>
      </w:r>
    </w:p>
    <w:p w14:paraId="623D4393" w14:textId="77777777" w:rsidR="005E3E24" w:rsidRDefault="005E3E24" w:rsidP="005E3E24">
      <w:pPr>
        <w:jc w:val="both"/>
        <w:rPr>
          <w:rFonts w:ascii="Rockwell" w:hAnsi="Rockwell"/>
          <w:sz w:val="32"/>
          <w:szCs w:val="32"/>
        </w:rPr>
      </w:pPr>
    </w:p>
    <w:p w14:paraId="63565084"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Papier des questions réponses (aide-mémoire).</w:t>
      </w:r>
    </w:p>
    <w:p w14:paraId="015BCA4C"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396C8021"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1°) Dans le minibar d’une chambre d’hôtel : les boissons alcooliques seront taxées au taux normal de 20%. Tout le reste, à savoir boissons et cacahuètes seront taxées à 10%.</w:t>
      </w:r>
    </w:p>
    <w:p w14:paraId="127C4683"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44A9CA55"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 xml:space="preserve">2°) Si j’achète du chocolat de luxe, je payerai une TVA à 20%. Mais si je prends du chocolat noir de ménage, il ne sera qu’à 5,5% car c’est considéré comme un produit de base. En revanche, dès que j’achète des plaques de chocolat au lait, des plaques de chocolat blanc ou du chocolat fourré, le taux de TVA redeviendra le taux normal de 20%. Mais si le conditionnement est plus ordinaire et que je trouve du chocolat au lait de ménage, le taux redescendra à 5,5%. Dans ce cas, la composition sera règlementée et sera surveillée par les services de la DGCCRF. </w:t>
      </w:r>
    </w:p>
    <w:p w14:paraId="40C4084E"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3B7F619E"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 xml:space="preserve">3°) Les contrats de distribution d’électricité et gaz : Les abonnements sont considérés comme une nécessité donc le taux sera le taux réduit de 5,5%. En revanche, la fourniture d’énergie sera taxée à 20% ce qui fait rapidement monter la facture. </w:t>
      </w:r>
    </w:p>
    <w:p w14:paraId="20D0B69A"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01FA0160"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 xml:space="preserve">4°) Pour les spectacles, on trouvera des taux différents : Pour la billetterie des spectacles nouveaux, le taux applicable aux 140 premières représentations est de 2,10%. En revanche pour les autres spectacles vivants et le cinéma, ce sera 5,5%. </w:t>
      </w:r>
    </w:p>
    <w:p w14:paraId="6F1361AA"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5596B3E4"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5°) Pour les produits alimentaires consommés sur place comme dans un restaurant, le taux sera de 10%. En revanche, si c’est à emporter, le taux de TVA ne sera qu’à 5,5%. Le prix répercuté sur le client sera-t-il différent ? non mais le gain pour l’entreprise le sera.</w:t>
      </w:r>
    </w:p>
    <w:p w14:paraId="1180096C"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p>
    <w:p w14:paraId="77F634AB" w14:textId="77777777" w:rsidR="005E3E24" w:rsidRDefault="005E3E24" w:rsidP="005E3E24">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6°) Pour les médicaments : S’il s’agit de médicaments remboursables par la sécurité sociale, le taux sera le taux super-réduit de 2,1%. En effet, la TVA étant remboursée par la sécurité sociale, on ne veut pas que cela lui coûte trop cher. En revanche, si le médicament n’est pas remboursable, on peut y aller car c’est le consommateur qui payera et ce sera carrément 10%. En général, les médicaments non remboursables se vendent très bien, donc la TVA rentre bien dans les caisses de l’État.</w:t>
      </w:r>
    </w:p>
    <w:p w14:paraId="3B4F8C6B" w14:textId="77777777" w:rsidR="005E3E24" w:rsidRDefault="005E3E24" w:rsidP="005E3E24">
      <w:pPr>
        <w:jc w:val="both"/>
        <w:rPr>
          <w:rFonts w:ascii="Rockwell" w:hAnsi="Rockwell"/>
          <w:sz w:val="32"/>
          <w:szCs w:val="32"/>
        </w:rPr>
      </w:pPr>
    </w:p>
    <w:p w14:paraId="75CAA7EE" w14:textId="77777777" w:rsidR="005E3E24" w:rsidRDefault="005E3E24" w:rsidP="005E3E24">
      <w:pPr>
        <w:jc w:val="both"/>
        <w:rPr>
          <w:rFonts w:ascii="Rockwell" w:hAnsi="Rockwell"/>
          <w:sz w:val="32"/>
          <w:szCs w:val="32"/>
        </w:rPr>
      </w:pPr>
    </w:p>
    <w:p w14:paraId="7A99451A" w14:textId="77777777" w:rsidR="005E3E24" w:rsidRDefault="005E3E24" w:rsidP="005E3E24">
      <w:pPr>
        <w:jc w:val="both"/>
        <w:rPr>
          <w:rFonts w:ascii="Rockwell" w:hAnsi="Rockwell"/>
          <w:sz w:val="32"/>
          <w:szCs w:val="32"/>
        </w:rPr>
      </w:pPr>
    </w:p>
    <w:p w14:paraId="64FCE929" w14:textId="77777777" w:rsidR="00A662D2" w:rsidRDefault="00A662D2"/>
    <w:sectPr w:rsidR="00A662D2" w:rsidSect="005E3E24">
      <w:footerReference w:type="even"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F1D0" w14:textId="77777777" w:rsidR="00BB442E" w:rsidRDefault="00BB442E" w:rsidP="005E3E24">
      <w:r>
        <w:separator/>
      </w:r>
    </w:p>
  </w:endnote>
  <w:endnote w:type="continuationSeparator" w:id="0">
    <w:p w14:paraId="274F25AD" w14:textId="77777777" w:rsidR="00BB442E" w:rsidRDefault="00BB442E" w:rsidP="005E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boto Condensed">
    <w:charset w:val="00"/>
    <w:family w:val="auto"/>
    <w:pitch w:val="variable"/>
    <w:sig w:usb0="E0000AFF" w:usb1="5000217F" w:usb2="0000002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663E" w14:textId="77777777" w:rsidR="005E3E24" w:rsidRDefault="005E3E24" w:rsidP="000F6515">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92A29AB" w14:textId="77777777" w:rsidR="005E3E24" w:rsidRDefault="005E3E2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C5BB" w14:textId="77777777" w:rsidR="005E3E24" w:rsidRDefault="005E3E24" w:rsidP="000F6515">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B442E">
      <w:rPr>
        <w:rStyle w:val="Numrodepage"/>
        <w:noProof/>
      </w:rPr>
      <w:t>1</w:t>
    </w:r>
    <w:r>
      <w:rPr>
        <w:rStyle w:val="Numrodepage"/>
      </w:rPr>
      <w:fldChar w:fldCharType="end"/>
    </w:r>
  </w:p>
  <w:p w14:paraId="0B7147A4" w14:textId="77777777" w:rsidR="005E3E24" w:rsidRDefault="005E3E2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A90D" w14:textId="77777777" w:rsidR="00BB442E" w:rsidRDefault="00BB442E" w:rsidP="005E3E24">
      <w:r>
        <w:separator/>
      </w:r>
    </w:p>
  </w:footnote>
  <w:footnote w:type="continuationSeparator" w:id="0">
    <w:p w14:paraId="3DF949CD" w14:textId="77777777" w:rsidR="00BB442E" w:rsidRDefault="00BB442E" w:rsidP="005E3E24">
      <w:r>
        <w:continuationSeparator/>
      </w:r>
    </w:p>
  </w:footnote>
  <w:footnote w:id="1">
    <w:p w14:paraId="58092026" w14:textId="77777777" w:rsidR="005E3E24" w:rsidRDefault="005E3E24" w:rsidP="005E3E24">
      <w:pPr>
        <w:pStyle w:val="Notedebasdepage"/>
      </w:pPr>
      <w:r>
        <w:rPr>
          <w:rStyle w:val="Appelnotedebasdep"/>
        </w:rPr>
        <w:footnoteRef/>
      </w:r>
      <w:r>
        <w:t xml:space="preserve"> NORGE = 25%. Ce qui fait qu’on peut retenir que le taux normal est très élevé dans les pays scandinaves avec 25% en DK, Suède et Norvège + 24% pour la Finlande.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6E50"/>
    <w:multiLevelType w:val="multilevel"/>
    <w:tmpl w:val="6B4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24"/>
    <w:rsid w:val="0017559D"/>
    <w:rsid w:val="005E3E24"/>
    <w:rsid w:val="008F178B"/>
    <w:rsid w:val="00A662D2"/>
    <w:rsid w:val="00BB442E"/>
    <w:rsid w:val="00BC580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DB38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E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3E24"/>
    <w:rPr>
      <w:color w:val="0000FF"/>
      <w:u w:val="single"/>
    </w:rPr>
  </w:style>
  <w:style w:type="paragraph" w:styleId="Notedebasdepage">
    <w:name w:val="footnote text"/>
    <w:basedOn w:val="Normal"/>
    <w:link w:val="NotedebasdepageCar"/>
    <w:uiPriority w:val="99"/>
    <w:unhideWhenUsed/>
    <w:rsid w:val="005E3E24"/>
  </w:style>
  <w:style w:type="character" w:customStyle="1" w:styleId="NotedebasdepageCar">
    <w:name w:val="Note de bas de page Car"/>
    <w:basedOn w:val="Policepardfaut"/>
    <w:link w:val="Notedebasdepage"/>
    <w:uiPriority w:val="99"/>
    <w:rsid w:val="005E3E24"/>
  </w:style>
  <w:style w:type="character" w:styleId="Appelnotedebasdep">
    <w:name w:val="footnote reference"/>
    <w:basedOn w:val="Policepardfaut"/>
    <w:uiPriority w:val="99"/>
    <w:unhideWhenUsed/>
    <w:rsid w:val="005E3E24"/>
    <w:rPr>
      <w:vertAlign w:val="superscript"/>
    </w:rPr>
  </w:style>
  <w:style w:type="paragraph" w:styleId="Pieddepage">
    <w:name w:val="footer"/>
    <w:basedOn w:val="Normal"/>
    <w:link w:val="PieddepageCar"/>
    <w:uiPriority w:val="99"/>
    <w:unhideWhenUsed/>
    <w:rsid w:val="005E3E24"/>
    <w:pPr>
      <w:tabs>
        <w:tab w:val="center" w:pos="4536"/>
        <w:tab w:val="right" w:pos="9072"/>
      </w:tabs>
    </w:pPr>
  </w:style>
  <w:style w:type="character" w:customStyle="1" w:styleId="PieddepageCar">
    <w:name w:val="Pied de page Car"/>
    <w:basedOn w:val="Policepardfaut"/>
    <w:link w:val="Pieddepage"/>
    <w:uiPriority w:val="99"/>
    <w:rsid w:val="005E3E24"/>
  </w:style>
  <w:style w:type="character" w:styleId="Numrodepage">
    <w:name w:val="page number"/>
    <w:basedOn w:val="Policepardfaut"/>
    <w:uiPriority w:val="99"/>
    <w:semiHidden/>
    <w:unhideWhenUsed/>
    <w:rsid w:val="005E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zapptax.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1987</Words>
  <Characters>10932</Characters>
  <Application>Microsoft Macintosh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2021-03-12T06:40:00Z</dcterms:created>
  <dcterms:modified xsi:type="dcterms:W3CDTF">2021-03-12T06:48:00Z</dcterms:modified>
</cp:coreProperties>
</file>