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814F5" w14:textId="77777777" w:rsidR="002D1E15" w:rsidRPr="00796493" w:rsidRDefault="002D1E15" w:rsidP="002D1E15">
      <w:pPr>
        <w:jc w:val="center"/>
        <w:rPr>
          <w:rFonts w:ascii="Rockwell" w:hAnsi="Rockwell"/>
          <w:b/>
          <w:sz w:val="72"/>
          <w:szCs w:val="72"/>
        </w:rPr>
      </w:pPr>
      <w:r>
        <w:rPr>
          <w:rFonts w:ascii="Rockwell" w:hAnsi="Rockwell"/>
          <w:b/>
          <w:sz w:val="72"/>
          <w:szCs w:val="72"/>
        </w:rPr>
        <w:t xml:space="preserve">LEÇON </w:t>
      </w:r>
      <w:r w:rsidRPr="003E25A6">
        <w:rPr>
          <w:rFonts w:ascii="Rockwell" w:hAnsi="Rockwell"/>
          <w:b/>
          <w:sz w:val="96"/>
          <w:szCs w:val="96"/>
        </w:rPr>
        <w:t>5</w:t>
      </w:r>
    </w:p>
    <w:p w14:paraId="4978ACC2" w14:textId="77777777" w:rsidR="002D1E15" w:rsidRPr="002D1E15" w:rsidRDefault="002D1E15" w:rsidP="002D1E15">
      <w:pPr>
        <w:jc w:val="center"/>
        <w:rPr>
          <w:rFonts w:ascii="Rockwell" w:hAnsi="Rockwell"/>
          <w:b/>
          <w:sz w:val="70"/>
          <w:szCs w:val="70"/>
        </w:rPr>
      </w:pPr>
      <w:r w:rsidRPr="002D1E15">
        <w:rPr>
          <w:rFonts w:ascii="Rockwell" w:hAnsi="Rockwell"/>
          <w:b/>
          <w:sz w:val="70"/>
          <w:szCs w:val="70"/>
        </w:rPr>
        <w:t>L’IMPÔT SUR LES SOCIÉTÉS</w:t>
      </w:r>
    </w:p>
    <w:p w14:paraId="35885955" w14:textId="77777777" w:rsidR="002D1E15" w:rsidRPr="00796493" w:rsidRDefault="002D1E15" w:rsidP="002D1E15">
      <w:pPr>
        <w:jc w:val="center"/>
        <w:rPr>
          <w:rFonts w:ascii="Rockwell" w:hAnsi="Rockwell"/>
          <w:b/>
          <w:sz w:val="72"/>
          <w:szCs w:val="72"/>
        </w:rPr>
      </w:pPr>
    </w:p>
    <w:p w14:paraId="4AD7D6F6" w14:textId="77777777" w:rsidR="00A662D2" w:rsidRPr="003E25A6" w:rsidRDefault="00AC1869" w:rsidP="002D1E15">
      <w:pPr>
        <w:rPr>
          <w:rFonts w:ascii="Rockwell" w:hAnsi="Rockwell"/>
          <w:b/>
          <w:bCs/>
          <w:sz w:val="32"/>
          <w:szCs w:val="32"/>
        </w:rPr>
      </w:pPr>
      <w:r w:rsidRPr="003E25A6">
        <w:rPr>
          <w:rFonts w:ascii="Rockwell" w:hAnsi="Rockwell"/>
          <w:b/>
          <w:bCs/>
          <w:sz w:val="32"/>
          <w:szCs w:val="32"/>
        </w:rPr>
        <w:t>INTRODUCTION</w:t>
      </w:r>
    </w:p>
    <w:p w14:paraId="555E8756" w14:textId="28F7DFFF" w:rsidR="00AC1869" w:rsidRDefault="0008137E" w:rsidP="00CC63CC">
      <w:pPr>
        <w:jc w:val="both"/>
        <w:rPr>
          <w:rFonts w:ascii="Rockwell" w:hAnsi="Rockwell"/>
          <w:sz w:val="32"/>
          <w:szCs w:val="32"/>
        </w:rPr>
      </w:pPr>
      <w:r>
        <w:rPr>
          <w:rFonts w:ascii="Rockwell" w:hAnsi="Rockwell"/>
          <w:sz w:val="32"/>
          <w:szCs w:val="32"/>
        </w:rPr>
        <w:t>L’impôt sur les sociétés a été créé en 1948 au lendemain de la deuxième guerre mondiale</w:t>
      </w:r>
      <w:r w:rsidR="00ED2F5D">
        <w:rPr>
          <w:rFonts w:ascii="Rockwell" w:hAnsi="Rockwell"/>
          <w:sz w:val="32"/>
          <w:szCs w:val="32"/>
        </w:rPr>
        <w:t>.</w:t>
      </w:r>
      <w:r w:rsidR="00FF32C8">
        <w:rPr>
          <w:rFonts w:ascii="Rockwell" w:hAnsi="Rockwell"/>
          <w:sz w:val="32"/>
          <w:szCs w:val="32"/>
        </w:rPr>
        <w:t xml:space="preserve"> Loi n°48-1268 du 17 août 1948 avec son Décret d’application n°48-1986 du 9 décembre 1948. </w:t>
      </w:r>
    </w:p>
    <w:p w14:paraId="267AE4A1" w14:textId="77777777" w:rsidR="000A176B" w:rsidRDefault="000A176B" w:rsidP="00CC63CC">
      <w:pPr>
        <w:jc w:val="both"/>
        <w:rPr>
          <w:rFonts w:ascii="Rockwell" w:hAnsi="Rockwell"/>
          <w:sz w:val="32"/>
          <w:szCs w:val="32"/>
        </w:rPr>
      </w:pPr>
    </w:p>
    <w:p w14:paraId="53A1CE07" w14:textId="3DA2869B" w:rsidR="000A176B" w:rsidRDefault="000A176B" w:rsidP="00CC63CC">
      <w:pPr>
        <w:jc w:val="both"/>
        <w:rPr>
          <w:rFonts w:ascii="Rockwell" w:hAnsi="Rockwell"/>
          <w:sz w:val="32"/>
          <w:szCs w:val="32"/>
        </w:rPr>
      </w:pPr>
      <w:r>
        <w:rPr>
          <w:rFonts w:ascii="Rockwell" w:hAnsi="Rockwell"/>
          <w:sz w:val="32"/>
          <w:szCs w:val="32"/>
        </w:rPr>
        <w:t xml:space="preserve">L’impôt sur les sociétés n’existait pas avant cette date. C’était l’IR qui s’appliquait aux entreprises comme aux particuliers. </w:t>
      </w:r>
      <w:r w:rsidR="00BC570E">
        <w:rPr>
          <w:rFonts w:ascii="Rockwell" w:hAnsi="Rockwell"/>
          <w:sz w:val="32"/>
          <w:szCs w:val="32"/>
        </w:rPr>
        <w:t>On taxait les dividendes des actionnaires.</w:t>
      </w:r>
    </w:p>
    <w:p w14:paraId="29818FDA" w14:textId="77777777" w:rsidR="00BC570E" w:rsidRDefault="00BC570E" w:rsidP="00CC63CC">
      <w:pPr>
        <w:jc w:val="both"/>
        <w:rPr>
          <w:rFonts w:ascii="Rockwell" w:hAnsi="Rockwell"/>
          <w:sz w:val="32"/>
          <w:szCs w:val="32"/>
        </w:rPr>
      </w:pPr>
    </w:p>
    <w:p w14:paraId="282F1F23" w14:textId="2E34A06F" w:rsidR="00BC570E" w:rsidRDefault="00BC570E" w:rsidP="00CC63CC">
      <w:pPr>
        <w:jc w:val="both"/>
        <w:rPr>
          <w:rFonts w:ascii="Rockwell" w:hAnsi="Rockwell"/>
          <w:sz w:val="32"/>
          <w:szCs w:val="32"/>
        </w:rPr>
      </w:pPr>
      <w:r>
        <w:rPr>
          <w:rFonts w:ascii="Rockwell" w:hAnsi="Rockwell"/>
          <w:sz w:val="32"/>
          <w:szCs w:val="32"/>
        </w:rPr>
        <w:t>Le rendement de l’IS</w:t>
      </w:r>
      <w:r w:rsidR="00D334C9">
        <w:rPr>
          <w:rFonts w:ascii="Rockwell" w:hAnsi="Rockwell"/>
          <w:sz w:val="32"/>
          <w:szCs w:val="32"/>
        </w:rPr>
        <w:t xml:space="preserve"> peut être récapitulé au moyen du tableau suivant : </w:t>
      </w:r>
    </w:p>
    <w:tbl>
      <w:tblPr>
        <w:tblStyle w:val="Grilledutableau"/>
        <w:tblW w:w="0" w:type="auto"/>
        <w:tblLook w:val="04A0" w:firstRow="1" w:lastRow="0" w:firstColumn="1" w:lastColumn="0" w:noHBand="0" w:noVBand="1"/>
      </w:tblPr>
      <w:tblGrid>
        <w:gridCol w:w="1418"/>
        <w:gridCol w:w="1418"/>
        <w:gridCol w:w="1418"/>
        <w:gridCol w:w="1418"/>
        <w:gridCol w:w="1418"/>
        <w:gridCol w:w="1418"/>
        <w:gridCol w:w="1418"/>
      </w:tblGrid>
      <w:tr w:rsidR="00D334C9" w14:paraId="52FAB293" w14:textId="06FB508D" w:rsidTr="009051BD">
        <w:tc>
          <w:tcPr>
            <w:tcW w:w="1418" w:type="dxa"/>
          </w:tcPr>
          <w:p w14:paraId="36F3919F" w14:textId="77777777" w:rsidR="00D334C9" w:rsidRDefault="00D334C9" w:rsidP="00CC63CC">
            <w:pPr>
              <w:jc w:val="both"/>
              <w:rPr>
                <w:rFonts w:ascii="Rockwell" w:hAnsi="Rockwell"/>
                <w:sz w:val="32"/>
                <w:szCs w:val="32"/>
              </w:rPr>
            </w:pPr>
          </w:p>
        </w:tc>
        <w:tc>
          <w:tcPr>
            <w:tcW w:w="1418" w:type="dxa"/>
          </w:tcPr>
          <w:p w14:paraId="39266085" w14:textId="78BB9E9C" w:rsidR="00D334C9" w:rsidRDefault="00D334C9" w:rsidP="00D334C9">
            <w:pPr>
              <w:jc w:val="right"/>
              <w:rPr>
                <w:rFonts w:ascii="Rockwell" w:hAnsi="Rockwell"/>
                <w:sz w:val="32"/>
                <w:szCs w:val="32"/>
              </w:rPr>
            </w:pPr>
            <w:r>
              <w:rPr>
                <w:rFonts w:ascii="Rockwell" w:hAnsi="Rockwell"/>
                <w:sz w:val="32"/>
                <w:szCs w:val="32"/>
              </w:rPr>
              <w:t>2012</w:t>
            </w:r>
          </w:p>
        </w:tc>
        <w:tc>
          <w:tcPr>
            <w:tcW w:w="1418" w:type="dxa"/>
          </w:tcPr>
          <w:p w14:paraId="1051AD67" w14:textId="50C0BC02" w:rsidR="00D334C9" w:rsidRDefault="00D334C9" w:rsidP="00D334C9">
            <w:pPr>
              <w:jc w:val="right"/>
              <w:rPr>
                <w:rFonts w:ascii="Rockwell" w:hAnsi="Rockwell"/>
                <w:sz w:val="32"/>
                <w:szCs w:val="32"/>
              </w:rPr>
            </w:pPr>
            <w:r>
              <w:rPr>
                <w:rFonts w:ascii="Rockwell" w:hAnsi="Rockwell"/>
                <w:sz w:val="32"/>
                <w:szCs w:val="32"/>
              </w:rPr>
              <w:t>2017</w:t>
            </w:r>
          </w:p>
        </w:tc>
        <w:tc>
          <w:tcPr>
            <w:tcW w:w="1418" w:type="dxa"/>
          </w:tcPr>
          <w:p w14:paraId="28760F27" w14:textId="0CF983F4" w:rsidR="00D334C9" w:rsidRDefault="00D334C9" w:rsidP="00D334C9">
            <w:pPr>
              <w:jc w:val="right"/>
              <w:rPr>
                <w:rFonts w:ascii="Rockwell" w:hAnsi="Rockwell"/>
                <w:sz w:val="32"/>
                <w:szCs w:val="32"/>
              </w:rPr>
            </w:pPr>
            <w:r>
              <w:rPr>
                <w:rFonts w:ascii="Rockwell" w:hAnsi="Rockwell"/>
                <w:sz w:val="32"/>
                <w:szCs w:val="32"/>
              </w:rPr>
              <w:t>2018</w:t>
            </w:r>
          </w:p>
        </w:tc>
        <w:tc>
          <w:tcPr>
            <w:tcW w:w="1418" w:type="dxa"/>
          </w:tcPr>
          <w:p w14:paraId="543010A0" w14:textId="5B47D858" w:rsidR="00D334C9" w:rsidRDefault="00D334C9" w:rsidP="00D334C9">
            <w:pPr>
              <w:jc w:val="right"/>
              <w:rPr>
                <w:rFonts w:ascii="Rockwell" w:hAnsi="Rockwell"/>
                <w:sz w:val="32"/>
                <w:szCs w:val="32"/>
              </w:rPr>
            </w:pPr>
            <w:r>
              <w:rPr>
                <w:rFonts w:ascii="Rockwell" w:hAnsi="Rockwell"/>
                <w:sz w:val="32"/>
                <w:szCs w:val="32"/>
              </w:rPr>
              <w:t>2019</w:t>
            </w:r>
          </w:p>
        </w:tc>
        <w:tc>
          <w:tcPr>
            <w:tcW w:w="1418" w:type="dxa"/>
          </w:tcPr>
          <w:p w14:paraId="6C760875" w14:textId="1000074D" w:rsidR="00D334C9" w:rsidRDefault="00D334C9" w:rsidP="00D334C9">
            <w:pPr>
              <w:jc w:val="right"/>
              <w:rPr>
                <w:rFonts w:ascii="Rockwell" w:hAnsi="Rockwell"/>
                <w:sz w:val="32"/>
                <w:szCs w:val="32"/>
              </w:rPr>
            </w:pPr>
            <w:r>
              <w:rPr>
                <w:rFonts w:ascii="Rockwell" w:hAnsi="Rockwell"/>
                <w:sz w:val="32"/>
                <w:szCs w:val="32"/>
              </w:rPr>
              <w:t>2020</w:t>
            </w:r>
          </w:p>
        </w:tc>
        <w:tc>
          <w:tcPr>
            <w:tcW w:w="1418" w:type="dxa"/>
          </w:tcPr>
          <w:p w14:paraId="724DDD6D" w14:textId="6C24D8EE" w:rsidR="00D334C9" w:rsidRDefault="00D334C9" w:rsidP="00D334C9">
            <w:pPr>
              <w:jc w:val="right"/>
              <w:rPr>
                <w:rFonts w:ascii="Rockwell" w:hAnsi="Rockwell"/>
                <w:sz w:val="32"/>
                <w:szCs w:val="32"/>
              </w:rPr>
            </w:pPr>
            <w:r>
              <w:rPr>
                <w:rFonts w:ascii="Rockwell" w:hAnsi="Rockwell"/>
                <w:sz w:val="32"/>
                <w:szCs w:val="32"/>
              </w:rPr>
              <w:t>2021</w:t>
            </w:r>
          </w:p>
        </w:tc>
      </w:tr>
      <w:tr w:rsidR="00D334C9" w14:paraId="2FA724F3" w14:textId="3034A53F" w:rsidTr="009051BD">
        <w:tc>
          <w:tcPr>
            <w:tcW w:w="1418" w:type="dxa"/>
          </w:tcPr>
          <w:p w14:paraId="76A1932E" w14:textId="43545460" w:rsidR="00D334C9" w:rsidRDefault="00CD5C2C" w:rsidP="00CC63CC">
            <w:pPr>
              <w:jc w:val="both"/>
              <w:rPr>
                <w:rFonts w:ascii="Rockwell" w:hAnsi="Rockwell"/>
                <w:sz w:val="32"/>
                <w:szCs w:val="32"/>
              </w:rPr>
            </w:pPr>
            <w:r>
              <w:rPr>
                <w:rFonts w:ascii="Rockwell" w:hAnsi="Rockwell"/>
                <w:sz w:val="32"/>
                <w:szCs w:val="32"/>
              </w:rPr>
              <w:t>IS net</w:t>
            </w:r>
          </w:p>
        </w:tc>
        <w:tc>
          <w:tcPr>
            <w:tcW w:w="1418" w:type="dxa"/>
          </w:tcPr>
          <w:p w14:paraId="2F984D7D" w14:textId="1535B1F5" w:rsidR="00D334C9" w:rsidRDefault="00CD5C2C" w:rsidP="00D334C9">
            <w:pPr>
              <w:jc w:val="right"/>
              <w:rPr>
                <w:rFonts w:ascii="Rockwell" w:hAnsi="Rockwell"/>
                <w:sz w:val="32"/>
                <w:szCs w:val="32"/>
              </w:rPr>
            </w:pPr>
            <w:r>
              <w:rPr>
                <w:rFonts w:ascii="Rockwell" w:hAnsi="Rockwell"/>
                <w:sz w:val="32"/>
                <w:szCs w:val="32"/>
              </w:rPr>
              <w:t>41</w:t>
            </w:r>
          </w:p>
        </w:tc>
        <w:tc>
          <w:tcPr>
            <w:tcW w:w="1418" w:type="dxa"/>
          </w:tcPr>
          <w:p w14:paraId="00E17EF8" w14:textId="47F8B7A1" w:rsidR="00D334C9" w:rsidRDefault="00CD5C2C" w:rsidP="00D334C9">
            <w:pPr>
              <w:jc w:val="right"/>
              <w:rPr>
                <w:rFonts w:ascii="Rockwell" w:hAnsi="Rockwell"/>
                <w:sz w:val="32"/>
                <w:szCs w:val="32"/>
              </w:rPr>
            </w:pPr>
            <w:r>
              <w:rPr>
                <w:rFonts w:ascii="Rockwell" w:hAnsi="Rockwell"/>
                <w:sz w:val="32"/>
                <w:szCs w:val="32"/>
              </w:rPr>
              <w:t>36</w:t>
            </w:r>
          </w:p>
        </w:tc>
        <w:tc>
          <w:tcPr>
            <w:tcW w:w="1418" w:type="dxa"/>
          </w:tcPr>
          <w:p w14:paraId="65D0994D" w14:textId="2BA97B19" w:rsidR="00D334C9" w:rsidRDefault="00CD5C2C" w:rsidP="00D334C9">
            <w:pPr>
              <w:jc w:val="right"/>
              <w:rPr>
                <w:rFonts w:ascii="Rockwell" w:hAnsi="Rockwell"/>
                <w:sz w:val="32"/>
                <w:szCs w:val="32"/>
              </w:rPr>
            </w:pPr>
            <w:r>
              <w:rPr>
                <w:rFonts w:ascii="Rockwell" w:hAnsi="Rockwell"/>
                <w:sz w:val="32"/>
                <w:szCs w:val="32"/>
              </w:rPr>
              <w:t>27,4</w:t>
            </w:r>
          </w:p>
        </w:tc>
        <w:tc>
          <w:tcPr>
            <w:tcW w:w="1418" w:type="dxa"/>
          </w:tcPr>
          <w:p w14:paraId="0E961B6F" w14:textId="1FE43F3B" w:rsidR="00D334C9" w:rsidRDefault="00CD5C2C" w:rsidP="00D334C9">
            <w:pPr>
              <w:jc w:val="right"/>
              <w:rPr>
                <w:rFonts w:ascii="Rockwell" w:hAnsi="Rockwell"/>
                <w:sz w:val="32"/>
                <w:szCs w:val="32"/>
              </w:rPr>
            </w:pPr>
            <w:r>
              <w:rPr>
                <w:rFonts w:ascii="Rockwell" w:hAnsi="Rockwell"/>
                <w:sz w:val="32"/>
                <w:szCs w:val="32"/>
              </w:rPr>
              <w:t>33,4</w:t>
            </w:r>
          </w:p>
        </w:tc>
        <w:tc>
          <w:tcPr>
            <w:tcW w:w="1418" w:type="dxa"/>
          </w:tcPr>
          <w:p w14:paraId="411DABD9" w14:textId="125A8969" w:rsidR="00D334C9" w:rsidRDefault="00CD5C2C" w:rsidP="00D334C9">
            <w:pPr>
              <w:jc w:val="right"/>
              <w:rPr>
                <w:rFonts w:ascii="Rockwell" w:hAnsi="Rockwell"/>
                <w:sz w:val="32"/>
                <w:szCs w:val="32"/>
              </w:rPr>
            </w:pPr>
            <w:r>
              <w:rPr>
                <w:rFonts w:ascii="Rockwell" w:hAnsi="Rockwell"/>
                <w:sz w:val="32"/>
                <w:szCs w:val="32"/>
              </w:rPr>
              <w:t>29,9</w:t>
            </w:r>
          </w:p>
        </w:tc>
        <w:tc>
          <w:tcPr>
            <w:tcW w:w="1418" w:type="dxa"/>
          </w:tcPr>
          <w:p w14:paraId="6EB42518" w14:textId="365645DB" w:rsidR="00D334C9" w:rsidRDefault="00CD5C2C" w:rsidP="00D334C9">
            <w:pPr>
              <w:jc w:val="right"/>
              <w:rPr>
                <w:rFonts w:ascii="Rockwell" w:hAnsi="Rockwell"/>
                <w:sz w:val="32"/>
                <w:szCs w:val="32"/>
              </w:rPr>
            </w:pPr>
            <w:r>
              <w:rPr>
                <w:rFonts w:ascii="Rockwell" w:hAnsi="Rockwell"/>
                <w:sz w:val="32"/>
                <w:szCs w:val="32"/>
              </w:rPr>
              <w:t>37,7</w:t>
            </w:r>
          </w:p>
        </w:tc>
      </w:tr>
    </w:tbl>
    <w:p w14:paraId="14B241F0" w14:textId="1F09376F" w:rsidR="0071666D" w:rsidRDefault="0071666D" w:rsidP="00CC63CC">
      <w:pPr>
        <w:jc w:val="both"/>
        <w:rPr>
          <w:rFonts w:ascii="Rockwell" w:hAnsi="Rockwell"/>
          <w:sz w:val="32"/>
          <w:szCs w:val="32"/>
        </w:rPr>
      </w:pPr>
      <w:r>
        <w:rPr>
          <w:rFonts w:ascii="Rockwell" w:hAnsi="Rockwell"/>
          <w:sz w:val="32"/>
          <w:szCs w:val="32"/>
        </w:rPr>
        <w:t>Origine, rapport voies et moyens, PLF 2021, p. 24</w:t>
      </w:r>
    </w:p>
    <w:p w14:paraId="15985348" w14:textId="77777777" w:rsidR="0071666D" w:rsidRDefault="0071666D" w:rsidP="00CC63CC">
      <w:pPr>
        <w:jc w:val="both"/>
        <w:rPr>
          <w:rFonts w:ascii="Rockwell" w:hAnsi="Rockwell"/>
          <w:sz w:val="32"/>
          <w:szCs w:val="32"/>
        </w:rPr>
      </w:pPr>
    </w:p>
    <w:p w14:paraId="3FA06901" w14:textId="77777777" w:rsidR="0071666D" w:rsidRDefault="00CD5C2C" w:rsidP="00CC63CC">
      <w:pPr>
        <w:jc w:val="both"/>
        <w:rPr>
          <w:rFonts w:ascii="Rockwell" w:hAnsi="Rockwell"/>
          <w:sz w:val="32"/>
          <w:szCs w:val="32"/>
        </w:rPr>
      </w:pPr>
      <w:r>
        <w:rPr>
          <w:rFonts w:ascii="Rockwell" w:hAnsi="Rockwell"/>
          <w:sz w:val="32"/>
          <w:szCs w:val="32"/>
        </w:rPr>
        <w:t>La crise sanitaire et le confinement qui a mis à l’arrêt les entreprises en 2020 a eu pour résultat une baisse de rendement pour 2020. En effet, on avait prévu un IS net pour 2020 de 48,1 Mds d’euros ce qui représentait un bonus de 14,7 Mds par rapport à 2019. En réalité on a fait moins de 3,5 Mds qu’</w:t>
      </w:r>
      <w:r w:rsidR="00D561E7">
        <w:rPr>
          <w:rFonts w:ascii="Rockwell" w:hAnsi="Rockwell"/>
          <w:sz w:val="32"/>
          <w:szCs w:val="32"/>
        </w:rPr>
        <w:t xml:space="preserve">en 2019 ce qui représente une moins-value de 18,2 Mds pour l’IS ce qui est considérable. </w:t>
      </w:r>
    </w:p>
    <w:p w14:paraId="1325F185" w14:textId="77777777" w:rsidR="0071666D" w:rsidRDefault="0071666D" w:rsidP="00CC63CC">
      <w:pPr>
        <w:jc w:val="both"/>
        <w:rPr>
          <w:rFonts w:ascii="Rockwell" w:hAnsi="Rockwell"/>
          <w:sz w:val="32"/>
          <w:szCs w:val="32"/>
        </w:rPr>
      </w:pPr>
    </w:p>
    <w:p w14:paraId="3CEEBF7B" w14:textId="07E91060" w:rsidR="00D334C9" w:rsidRDefault="00C32D4D" w:rsidP="00CC63CC">
      <w:pPr>
        <w:jc w:val="both"/>
        <w:rPr>
          <w:rFonts w:ascii="Rockwell" w:hAnsi="Rockwell"/>
          <w:sz w:val="32"/>
          <w:szCs w:val="32"/>
        </w:rPr>
      </w:pPr>
      <w:r>
        <w:rPr>
          <w:rFonts w:ascii="Rockwell" w:hAnsi="Rockwell"/>
          <w:sz w:val="32"/>
          <w:szCs w:val="32"/>
        </w:rPr>
        <w:t>Quand on calcule l’IS net, il faut partir de l’IS brut qui est la masse totale de ce qui est encaissé par le Trésor public, puis retrancher les remboursements et dégrèvements. Le tableau suivant, nous permet de visualiser ce passage de l’IS brut à l’IS net :</w:t>
      </w:r>
    </w:p>
    <w:p w14:paraId="4CD9AB5A" w14:textId="77777777" w:rsidR="008F381B" w:rsidRDefault="008F381B" w:rsidP="00CC63CC">
      <w:pPr>
        <w:jc w:val="both"/>
        <w:rPr>
          <w:rFonts w:ascii="Rockwell" w:hAnsi="Rockwell"/>
          <w:sz w:val="32"/>
          <w:szCs w:val="32"/>
        </w:rPr>
      </w:pPr>
    </w:p>
    <w:p w14:paraId="1F027507" w14:textId="3B5BD3D0" w:rsidR="008F381B" w:rsidRDefault="008F381B" w:rsidP="008F381B">
      <w:pPr>
        <w:jc w:val="center"/>
        <w:rPr>
          <w:rFonts w:ascii="Rockwell" w:hAnsi="Rockwell"/>
          <w:sz w:val="32"/>
          <w:szCs w:val="32"/>
        </w:rPr>
      </w:pPr>
      <w:r>
        <w:rPr>
          <w:rFonts w:ascii="Rockwell" w:hAnsi="Rockwell"/>
          <w:sz w:val="32"/>
          <w:szCs w:val="32"/>
        </w:rPr>
        <w:t>Le passage de l’IS brut à l’IS net</w:t>
      </w:r>
    </w:p>
    <w:tbl>
      <w:tblPr>
        <w:tblStyle w:val="Grilledutableau"/>
        <w:tblW w:w="0" w:type="auto"/>
        <w:jc w:val="center"/>
        <w:tblLook w:val="04A0" w:firstRow="1" w:lastRow="0" w:firstColumn="1" w:lastColumn="0" w:noHBand="0" w:noVBand="1"/>
      </w:tblPr>
      <w:tblGrid>
        <w:gridCol w:w="1418"/>
        <w:gridCol w:w="1418"/>
        <w:gridCol w:w="1418"/>
        <w:gridCol w:w="1418"/>
      </w:tblGrid>
      <w:tr w:rsidR="008F381B" w14:paraId="71CBB0D2" w14:textId="77777777" w:rsidTr="008F381B">
        <w:trPr>
          <w:jc w:val="center"/>
        </w:trPr>
        <w:tc>
          <w:tcPr>
            <w:tcW w:w="1418" w:type="dxa"/>
          </w:tcPr>
          <w:p w14:paraId="412A8E90" w14:textId="77777777" w:rsidR="008F381B" w:rsidRDefault="008F381B" w:rsidP="00CC63CC">
            <w:pPr>
              <w:jc w:val="both"/>
              <w:rPr>
                <w:rFonts w:ascii="Rockwell" w:hAnsi="Rockwell"/>
                <w:sz w:val="32"/>
                <w:szCs w:val="32"/>
              </w:rPr>
            </w:pPr>
          </w:p>
        </w:tc>
        <w:tc>
          <w:tcPr>
            <w:tcW w:w="1418" w:type="dxa"/>
          </w:tcPr>
          <w:p w14:paraId="18ABF58B" w14:textId="558F7EE6" w:rsidR="008F381B" w:rsidRDefault="008F381B" w:rsidP="0071666D">
            <w:pPr>
              <w:jc w:val="right"/>
              <w:rPr>
                <w:rFonts w:ascii="Rockwell" w:hAnsi="Rockwell"/>
                <w:sz w:val="32"/>
                <w:szCs w:val="32"/>
              </w:rPr>
            </w:pPr>
            <w:r>
              <w:rPr>
                <w:rFonts w:ascii="Rockwell" w:hAnsi="Rockwell"/>
                <w:sz w:val="32"/>
                <w:szCs w:val="32"/>
              </w:rPr>
              <w:t>2019</w:t>
            </w:r>
          </w:p>
        </w:tc>
        <w:tc>
          <w:tcPr>
            <w:tcW w:w="1418" w:type="dxa"/>
          </w:tcPr>
          <w:p w14:paraId="17F79710" w14:textId="7D042A46" w:rsidR="008F381B" w:rsidRDefault="008F381B" w:rsidP="0071666D">
            <w:pPr>
              <w:jc w:val="right"/>
              <w:rPr>
                <w:rFonts w:ascii="Rockwell" w:hAnsi="Rockwell"/>
                <w:sz w:val="32"/>
                <w:szCs w:val="32"/>
              </w:rPr>
            </w:pPr>
            <w:r>
              <w:rPr>
                <w:rFonts w:ascii="Rockwell" w:hAnsi="Rockwell"/>
                <w:sz w:val="32"/>
                <w:szCs w:val="32"/>
              </w:rPr>
              <w:t>2020</w:t>
            </w:r>
          </w:p>
        </w:tc>
        <w:tc>
          <w:tcPr>
            <w:tcW w:w="1418" w:type="dxa"/>
          </w:tcPr>
          <w:p w14:paraId="106AF1D2" w14:textId="23D6AEC6" w:rsidR="008F381B" w:rsidRDefault="008F381B" w:rsidP="0071666D">
            <w:pPr>
              <w:jc w:val="right"/>
              <w:rPr>
                <w:rFonts w:ascii="Rockwell" w:hAnsi="Rockwell"/>
                <w:sz w:val="32"/>
                <w:szCs w:val="32"/>
              </w:rPr>
            </w:pPr>
            <w:r>
              <w:rPr>
                <w:rFonts w:ascii="Rockwell" w:hAnsi="Rockwell"/>
                <w:sz w:val="32"/>
                <w:szCs w:val="32"/>
              </w:rPr>
              <w:t>2021</w:t>
            </w:r>
          </w:p>
        </w:tc>
      </w:tr>
      <w:tr w:rsidR="008F381B" w14:paraId="31863E60" w14:textId="77777777" w:rsidTr="008F381B">
        <w:trPr>
          <w:jc w:val="center"/>
        </w:trPr>
        <w:tc>
          <w:tcPr>
            <w:tcW w:w="1418" w:type="dxa"/>
          </w:tcPr>
          <w:p w14:paraId="2E4B5696" w14:textId="7DFBB8C5" w:rsidR="008F381B" w:rsidRDefault="008F381B" w:rsidP="00CC63CC">
            <w:pPr>
              <w:jc w:val="both"/>
              <w:rPr>
                <w:rFonts w:ascii="Rockwell" w:hAnsi="Rockwell"/>
                <w:sz w:val="32"/>
                <w:szCs w:val="32"/>
              </w:rPr>
            </w:pPr>
            <w:r>
              <w:rPr>
                <w:rFonts w:ascii="Rockwell" w:hAnsi="Rockwell"/>
                <w:sz w:val="32"/>
                <w:szCs w:val="32"/>
              </w:rPr>
              <w:t xml:space="preserve">IS brut </w:t>
            </w:r>
          </w:p>
        </w:tc>
        <w:tc>
          <w:tcPr>
            <w:tcW w:w="1418" w:type="dxa"/>
          </w:tcPr>
          <w:p w14:paraId="1B457A5B" w14:textId="70EFBE9A" w:rsidR="008F381B" w:rsidRDefault="00F7059A" w:rsidP="0071666D">
            <w:pPr>
              <w:jc w:val="right"/>
              <w:rPr>
                <w:rFonts w:ascii="Rockwell" w:hAnsi="Rockwell"/>
                <w:sz w:val="32"/>
                <w:szCs w:val="32"/>
              </w:rPr>
            </w:pPr>
            <w:r>
              <w:rPr>
                <w:rFonts w:ascii="Rockwell" w:hAnsi="Rockwell"/>
                <w:sz w:val="32"/>
                <w:szCs w:val="32"/>
              </w:rPr>
              <w:t>69,0</w:t>
            </w:r>
          </w:p>
        </w:tc>
        <w:tc>
          <w:tcPr>
            <w:tcW w:w="1418" w:type="dxa"/>
          </w:tcPr>
          <w:p w14:paraId="5373C1EF" w14:textId="38702098" w:rsidR="008F381B" w:rsidRDefault="00F7059A" w:rsidP="0071666D">
            <w:pPr>
              <w:jc w:val="right"/>
              <w:rPr>
                <w:rFonts w:ascii="Rockwell" w:hAnsi="Rockwell"/>
                <w:sz w:val="32"/>
                <w:szCs w:val="32"/>
              </w:rPr>
            </w:pPr>
            <w:r>
              <w:rPr>
                <w:rFonts w:ascii="Rockwell" w:hAnsi="Rockwell"/>
                <w:sz w:val="32"/>
                <w:szCs w:val="32"/>
              </w:rPr>
              <w:t>59,5</w:t>
            </w:r>
          </w:p>
        </w:tc>
        <w:tc>
          <w:tcPr>
            <w:tcW w:w="1418" w:type="dxa"/>
          </w:tcPr>
          <w:p w14:paraId="1AE3D59A" w14:textId="31A306A0" w:rsidR="008F381B" w:rsidRDefault="0071666D" w:rsidP="0071666D">
            <w:pPr>
              <w:jc w:val="right"/>
              <w:rPr>
                <w:rFonts w:ascii="Rockwell" w:hAnsi="Rockwell"/>
                <w:sz w:val="32"/>
                <w:szCs w:val="32"/>
              </w:rPr>
            </w:pPr>
            <w:r>
              <w:rPr>
                <w:rFonts w:ascii="Rockwell" w:hAnsi="Rockwell"/>
                <w:sz w:val="32"/>
                <w:szCs w:val="32"/>
              </w:rPr>
              <w:t>68,2</w:t>
            </w:r>
          </w:p>
        </w:tc>
      </w:tr>
      <w:tr w:rsidR="00F7059A" w14:paraId="23B3892C" w14:textId="77777777" w:rsidTr="008F381B">
        <w:trPr>
          <w:jc w:val="center"/>
        </w:trPr>
        <w:tc>
          <w:tcPr>
            <w:tcW w:w="1418" w:type="dxa"/>
          </w:tcPr>
          <w:p w14:paraId="56654B24" w14:textId="39A23267" w:rsidR="00F7059A" w:rsidRDefault="00F7059A" w:rsidP="00CC63CC">
            <w:pPr>
              <w:jc w:val="both"/>
              <w:rPr>
                <w:rFonts w:ascii="Rockwell" w:hAnsi="Rockwell"/>
                <w:sz w:val="32"/>
                <w:szCs w:val="32"/>
              </w:rPr>
            </w:pPr>
            <w:r>
              <w:rPr>
                <w:rFonts w:ascii="Rockwell" w:hAnsi="Rockwell"/>
                <w:sz w:val="32"/>
                <w:szCs w:val="32"/>
              </w:rPr>
              <w:t>R&amp;D</w:t>
            </w:r>
          </w:p>
        </w:tc>
        <w:tc>
          <w:tcPr>
            <w:tcW w:w="1418" w:type="dxa"/>
          </w:tcPr>
          <w:p w14:paraId="07007800" w14:textId="1750E768" w:rsidR="00F7059A" w:rsidRDefault="0071666D" w:rsidP="0071666D">
            <w:pPr>
              <w:jc w:val="right"/>
              <w:rPr>
                <w:rFonts w:ascii="Rockwell" w:hAnsi="Rockwell"/>
                <w:sz w:val="32"/>
                <w:szCs w:val="32"/>
              </w:rPr>
            </w:pPr>
            <w:r>
              <w:rPr>
                <w:rFonts w:ascii="Rockwell" w:hAnsi="Rockwell"/>
                <w:sz w:val="32"/>
                <w:szCs w:val="32"/>
              </w:rPr>
              <w:t>35,5</w:t>
            </w:r>
          </w:p>
        </w:tc>
        <w:tc>
          <w:tcPr>
            <w:tcW w:w="1418" w:type="dxa"/>
          </w:tcPr>
          <w:p w14:paraId="38085C43" w14:textId="15CA4BA3" w:rsidR="00F7059A" w:rsidRDefault="0071666D" w:rsidP="0071666D">
            <w:pPr>
              <w:jc w:val="right"/>
              <w:rPr>
                <w:rFonts w:ascii="Rockwell" w:hAnsi="Rockwell"/>
                <w:sz w:val="32"/>
                <w:szCs w:val="32"/>
              </w:rPr>
            </w:pPr>
            <w:r>
              <w:rPr>
                <w:rFonts w:ascii="Rockwell" w:hAnsi="Rockwell"/>
                <w:sz w:val="32"/>
                <w:szCs w:val="32"/>
              </w:rPr>
              <w:t>29,6</w:t>
            </w:r>
          </w:p>
        </w:tc>
        <w:tc>
          <w:tcPr>
            <w:tcW w:w="1418" w:type="dxa"/>
          </w:tcPr>
          <w:p w14:paraId="33C83C06" w14:textId="0CC4714D" w:rsidR="00F7059A" w:rsidRDefault="0071666D" w:rsidP="0071666D">
            <w:pPr>
              <w:jc w:val="right"/>
              <w:rPr>
                <w:rFonts w:ascii="Rockwell" w:hAnsi="Rockwell"/>
                <w:sz w:val="32"/>
                <w:szCs w:val="32"/>
              </w:rPr>
            </w:pPr>
            <w:r>
              <w:rPr>
                <w:rFonts w:ascii="Rockwell" w:hAnsi="Rockwell"/>
                <w:sz w:val="32"/>
                <w:szCs w:val="32"/>
              </w:rPr>
              <w:t>30,4</w:t>
            </w:r>
          </w:p>
        </w:tc>
      </w:tr>
      <w:tr w:rsidR="00F7059A" w14:paraId="02066CE8" w14:textId="77777777" w:rsidTr="008F381B">
        <w:trPr>
          <w:jc w:val="center"/>
        </w:trPr>
        <w:tc>
          <w:tcPr>
            <w:tcW w:w="1418" w:type="dxa"/>
          </w:tcPr>
          <w:p w14:paraId="7FA71EBC" w14:textId="4B8CBB06" w:rsidR="00F7059A" w:rsidRDefault="00F7059A" w:rsidP="00CC63CC">
            <w:pPr>
              <w:jc w:val="both"/>
              <w:rPr>
                <w:rFonts w:ascii="Rockwell" w:hAnsi="Rockwell"/>
                <w:sz w:val="32"/>
                <w:szCs w:val="32"/>
              </w:rPr>
            </w:pPr>
            <w:r>
              <w:rPr>
                <w:rFonts w:ascii="Rockwell" w:hAnsi="Rockwell"/>
                <w:sz w:val="32"/>
                <w:szCs w:val="32"/>
              </w:rPr>
              <w:t>IS net</w:t>
            </w:r>
          </w:p>
        </w:tc>
        <w:tc>
          <w:tcPr>
            <w:tcW w:w="1418" w:type="dxa"/>
          </w:tcPr>
          <w:p w14:paraId="49530AB5" w14:textId="673B5C94" w:rsidR="00F7059A" w:rsidRDefault="0071666D" w:rsidP="0071666D">
            <w:pPr>
              <w:jc w:val="right"/>
              <w:rPr>
                <w:rFonts w:ascii="Rockwell" w:hAnsi="Rockwell"/>
                <w:sz w:val="32"/>
                <w:szCs w:val="32"/>
              </w:rPr>
            </w:pPr>
            <w:r>
              <w:rPr>
                <w:rFonts w:ascii="Rockwell" w:hAnsi="Rockwell"/>
                <w:sz w:val="32"/>
                <w:szCs w:val="32"/>
              </w:rPr>
              <w:t>33,4</w:t>
            </w:r>
          </w:p>
        </w:tc>
        <w:tc>
          <w:tcPr>
            <w:tcW w:w="1418" w:type="dxa"/>
          </w:tcPr>
          <w:p w14:paraId="11CE97B3" w14:textId="6B5B9026" w:rsidR="00F7059A" w:rsidRDefault="0071666D" w:rsidP="0071666D">
            <w:pPr>
              <w:jc w:val="right"/>
              <w:rPr>
                <w:rFonts w:ascii="Rockwell" w:hAnsi="Rockwell"/>
                <w:sz w:val="32"/>
                <w:szCs w:val="32"/>
              </w:rPr>
            </w:pPr>
            <w:r>
              <w:rPr>
                <w:rFonts w:ascii="Rockwell" w:hAnsi="Rockwell"/>
                <w:sz w:val="32"/>
                <w:szCs w:val="32"/>
              </w:rPr>
              <w:t>29,9</w:t>
            </w:r>
          </w:p>
        </w:tc>
        <w:tc>
          <w:tcPr>
            <w:tcW w:w="1418" w:type="dxa"/>
          </w:tcPr>
          <w:p w14:paraId="3D9E6E9E" w14:textId="3E81CD6A" w:rsidR="00F7059A" w:rsidRDefault="0071666D" w:rsidP="0071666D">
            <w:pPr>
              <w:jc w:val="right"/>
              <w:rPr>
                <w:rFonts w:ascii="Rockwell" w:hAnsi="Rockwell"/>
                <w:sz w:val="32"/>
                <w:szCs w:val="32"/>
              </w:rPr>
            </w:pPr>
            <w:r>
              <w:rPr>
                <w:rFonts w:ascii="Rockwell" w:hAnsi="Rockwell"/>
                <w:sz w:val="32"/>
                <w:szCs w:val="32"/>
              </w:rPr>
              <w:t>37,7</w:t>
            </w:r>
          </w:p>
        </w:tc>
      </w:tr>
    </w:tbl>
    <w:p w14:paraId="3C5061EA" w14:textId="77777777" w:rsidR="008F381B" w:rsidRDefault="008F381B" w:rsidP="00CC63CC">
      <w:pPr>
        <w:jc w:val="both"/>
        <w:rPr>
          <w:rFonts w:ascii="Rockwell" w:hAnsi="Rockwell"/>
          <w:sz w:val="32"/>
          <w:szCs w:val="32"/>
        </w:rPr>
      </w:pPr>
    </w:p>
    <w:p w14:paraId="27F93732" w14:textId="77777777" w:rsidR="00C32D4D" w:rsidRDefault="00C32D4D" w:rsidP="00CC63CC">
      <w:pPr>
        <w:jc w:val="both"/>
        <w:rPr>
          <w:rFonts w:ascii="Rockwell" w:hAnsi="Rockwell"/>
          <w:sz w:val="32"/>
          <w:szCs w:val="32"/>
        </w:rPr>
      </w:pPr>
    </w:p>
    <w:p w14:paraId="0169BEB5" w14:textId="77777777" w:rsidR="000A176B" w:rsidRDefault="000A176B" w:rsidP="00CC63CC">
      <w:pPr>
        <w:jc w:val="both"/>
        <w:rPr>
          <w:rFonts w:ascii="Rockwell" w:hAnsi="Rockwell"/>
          <w:sz w:val="32"/>
          <w:szCs w:val="32"/>
        </w:rPr>
      </w:pPr>
    </w:p>
    <w:p w14:paraId="50C5E943" w14:textId="4E26872D" w:rsidR="000A176B" w:rsidRDefault="000A176B" w:rsidP="00CC63CC">
      <w:pPr>
        <w:jc w:val="both"/>
        <w:rPr>
          <w:rFonts w:ascii="Rockwell" w:hAnsi="Rockwell"/>
          <w:sz w:val="32"/>
          <w:szCs w:val="32"/>
        </w:rPr>
      </w:pPr>
      <w:r>
        <w:rPr>
          <w:rFonts w:ascii="Rockwell" w:hAnsi="Rockwell"/>
          <w:sz w:val="32"/>
          <w:szCs w:val="32"/>
        </w:rPr>
        <w:t xml:space="preserve">Avec la création de l’IS, on a scindé les impôts en deux : d’un côté l’impôt sur le revenu pour les personnes physiques (IRPP) et de l’autre, l’IS pour les sociétés quel que soit leur statut. Maurice COZIAN explique cette séparation dans son précis de fiscalité des entreprises. D’un côté, on trouve les entreprises de </w:t>
      </w:r>
      <w:r w:rsidRPr="000A176B">
        <w:rPr>
          <w:rFonts w:ascii="Rockwell" w:hAnsi="Rockwell"/>
          <w:b/>
          <w:sz w:val="32"/>
          <w:szCs w:val="32"/>
        </w:rPr>
        <w:t>subsistance</w:t>
      </w:r>
      <w:r>
        <w:rPr>
          <w:rFonts w:ascii="Rockwell" w:hAnsi="Rockwell"/>
          <w:sz w:val="32"/>
          <w:szCs w:val="32"/>
        </w:rPr>
        <w:t xml:space="preserve"> qui ont pour objectif de faire vivre le chef d’entreprise et ses employés qui s’organiseront de préférence en entreprise individuelle et les</w:t>
      </w:r>
      <w:r w:rsidR="00131776">
        <w:rPr>
          <w:rFonts w:ascii="Rockwell" w:hAnsi="Rockwell"/>
          <w:sz w:val="32"/>
          <w:szCs w:val="32"/>
        </w:rPr>
        <w:t xml:space="preserve"> entreprises de </w:t>
      </w:r>
      <w:r w:rsidR="00131776" w:rsidRPr="00131776">
        <w:rPr>
          <w:rFonts w:ascii="Rockwell" w:hAnsi="Rockwell"/>
          <w:b/>
          <w:sz w:val="32"/>
          <w:szCs w:val="32"/>
        </w:rPr>
        <w:t xml:space="preserve">croissance </w:t>
      </w:r>
      <w:r w:rsidR="00131776">
        <w:rPr>
          <w:rFonts w:ascii="Rockwell" w:hAnsi="Rockwell"/>
          <w:sz w:val="32"/>
          <w:szCs w:val="32"/>
        </w:rPr>
        <w:t>qui ont un objectif plus ambitieux avec le plus souvent le projet d’ouvrir leur capital à des investisseurs pour figurer dans les entreprises qui comptent</w:t>
      </w:r>
      <w:r w:rsidR="00DB3BC8">
        <w:rPr>
          <w:rFonts w:ascii="Rockwell" w:hAnsi="Rockwell"/>
          <w:sz w:val="32"/>
          <w:szCs w:val="32"/>
        </w:rPr>
        <w:t xml:space="preserve">. </w:t>
      </w:r>
      <w:r w:rsidR="00395CA3">
        <w:rPr>
          <w:rFonts w:ascii="Rockwell" w:hAnsi="Rockwell"/>
          <w:sz w:val="32"/>
          <w:szCs w:val="32"/>
        </w:rPr>
        <w:t>Pour être une entreprise qui compte, il faut opter pour la forme sociale</w:t>
      </w:r>
      <w:r w:rsidR="00FA1B23">
        <w:rPr>
          <w:rFonts w:ascii="Rockwell" w:hAnsi="Rockwell"/>
          <w:sz w:val="32"/>
          <w:szCs w:val="32"/>
        </w:rPr>
        <w:t>, il faut être constitué en société</w:t>
      </w:r>
      <w:r w:rsidR="0061665B">
        <w:rPr>
          <w:rFonts w:ascii="Rockwell" w:hAnsi="Rockwell"/>
          <w:sz w:val="32"/>
          <w:szCs w:val="32"/>
        </w:rPr>
        <w:t xml:space="preserve">. </w:t>
      </w:r>
      <w:r w:rsidR="00FA1B23">
        <w:rPr>
          <w:rFonts w:ascii="Rockwell" w:hAnsi="Rockwell"/>
          <w:sz w:val="32"/>
          <w:szCs w:val="32"/>
        </w:rPr>
        <w:t>Les entreprises de subsistance</w:t>
      </w:r>
      <w:r w:rsidR="0061665B">
        <w:rPr>
          <w:rFonts w:ascii="Rockwell" w:hAnsi="Rockwell"/>
          <w:sz w:val="32"/>
          <w:szCs w:val="32"/>
        </w:rPr>
        <w:t xml:space="preserve"> seront taxées à l’IR et les entreprises de croissances seront taxées à l’IS. </w:t>
      </w:r>
      <w:r w:rsidR="00FA1B23">
        <w:rPr>
          <w:rFonts w:ascii="Rockwell" w:hAnsi="Rockwell"/>
          <w:sz w:val="32"/>
          <w:szCs w:val="32"/>
        </w:rPr>
        <w:t>C’est très différent car l’IR est un impôt progressif comportant plusieurs tranches alors que l’IS est un impôt proportionnel qui applique le même taux à toutes les entreprises.</w:t>
      </w:r>
    </w:p>
    <w:p w14:paraId="442F1A30" w14:textId="77777777" w:rsidR="0061665B" w:rsidRDefault="0061665B" w:rsidP="00CC63CC">
      <w:pPr>
        <w:jc w:val="both"/>
        <w:rPr>
          <w:rFonts w:ascii="Rockwell" w:hAnsi="Rockwell"/>
          <w:sz w:val="32"/>
          <w:szCs w:val="32"/>
        </w:rPr>
      </w:pPr>
    </w:p>
    <w:p w14:paraId="5E0C8777" w14:textId="07878D44" w:rsidR="0061665B" w:rsidRDefault="0061665B" w:rsidP="00CC63CC">
      <w:pPr>
        <w:jc w:val="both"/>
        <w:rPr>
          <w:rFonts w:ascii="Rockwell" w:hAnsi="Rockwell"/>
          <w:sz w:val="32"/>
          <w:szCs w:val="32"/>
        </w:rPr>
      </w:pPr>
      <w:r>
        <w:rPr>
          <w:rFonts w:ascii="Rockwell" w:hAnsi="Rockwell"/>
          <w:sz w:val="32"/>
          <w:szCs w:val="32"/>
        </w:rPr>
        <w:t>Si l’on regarde les statistiques françaises, on s’aperçoit que le tiers des entreprises françaises relève de l’IS car ce sont des entreprises de croissance</w:t>
      </w:r>
      <w:r w:rsidR="000F2FD0">
        <w:rPr>
          <w:rFonts w:ascii="Rockwell" w:hAnsi="Rockwell"/>
          <w:sz w:val="32"/>
          <w:szCs w:val="32"/>
        </w:rPr>
        <w:t>. Les chiffres de la DGFIP de 2019 sont très clairs, sur les 6 millions d’entreprises soumises à la TVA, seules 2,3 millions sont taxées à l’IS ce qui représente 38,33% ce qui fait un gros tiers quand même</w:t>
      </w:r>
      <w:r w:rsidR="00092258">
        <w:rPr>
          <w:rFonts w:ascii="Rockwell" w:hAnsi="Rockwell"/>
          <w:sz w:val="32"/>
          <w:szCs w:val="32"/>
        </w:rPr>
        <w:t>. Si l’on veut trouver la bonne fraction, il faudrait dire que les entreprises relevant de l’IS représentent les 2/5èmes du total des entreprises françaises. Par déduction, on voit très nettement que la grande majorité des entreprises relève de l’IR car ce sont des entreprises de subsistance, les 2/3 si l’on reste large et si l’on veut être plus précis les 3/5èmes ce qui est énorme. Mais il ne faut pas se contenter de la forme et de la taille de l’entreprise</w:t>
      </w:r>
      <w:r w:rsidR="00672E63">
        <w:rPr>
          <w:rFonts w:ascii="Rockwell" w:hAnsi="Rockwell"/>
          <w:sz w:val="32"/>
          <w:szCs w:val="32"/>
        </w:rPr>
        <w:t xml:space="preserve">, il faut regarder la richesse dégagée par les entreprises. Les entreprises taxées à l’IS représentent à elles seules quasiment les 9/10èmes de la valeur ajoutée produites par les entreprises. On a donc un net déséquilibre entre des petites entreprises très nombreuses qui produisent peu de richesse qui sont les entreprises de subsistance et des sociétés peu nombreuses mais qui représentent la quasi-totalité de la richesse produite. </w:t>
      </w:r>
      <w:r w:rsidR="003D6934">
        <w:rPr>
          <w:rFonts w:ascii="Rockwell" w:hAnsi="Rockwell"/>
          <w:sz w:val="32"/>
          <w:szCs w:val="32"/>
        </w:rPr>
        <w:t xml:space="preserve">Pour visualiser cette différence, on aurait dans les </w:t>
      </w:r>
      <w:r w:rsidR="003D6934">
        <w:rPr>
          <w:rFonts w:ascii="Rockwell" w:hAnsi="Rockwell"/>
          <w:sz w:val="32"/>
          <w:szCs w:val="32"/>
        </w:rPr>
        <w:lastRenderedPageBreak/>
        <w:t>entreprises de croissance Danone, L’Oréal ou Michelin qui sont cotées au CAC 40 et à l’autre bout de la chaîne le petit plombier sympathique toujours débo</w:t>
      </w:r>
      <w:r w:rsidR="00131599">
        <w:rPr>
          <w:rFonts w:ascii="Rockwell" w:hAnsi="Rockwell"/>
          <w:sz w:val="32"/>
          <w:szCs w:val="32"/>
        </w:rPr>
        <w:t>rdé ou le jardinier du quartier ainsi que les artisans qu’on connaît bien autour de nous.</w:t>
      </w:r>
    </w:p>
    <w:p w14:paraId="1E6CECD7" w14:textId="77777777" w:rsidR="00F66861" w:rsidRDefault="00F66861" w:rsidP="00CC63CC">
      <w:pPr>
        <w:jc w:val="both"/>
        <w:rPr>
          <w:rFonts w:ascii="Rockwell" w:hAnsi="Rockwell"/>
          <w:sz w:val="32"/>
          <w:szCs w:val="32"/>
        </w:rPr>
      </w:pPr>
    </w:p>
    <w:p w14:paraId="53C6B79D" w14:textId="668EA676" w:rsidR="00F66861" w:rsidRPr="002927E5" w:rsidRDefault="00F66861" w:rsidP="002927E5">
      <w:pPr>
        <w:pBdr>
          <w:top w:val="single" w:sz="4" w:space="1" w:color="auto"/>
          <w:left w:val="single" w:sz="4" w:space="4" w:color="auto"/>
          <w:bottom w:val="single" w:sz="4" w:space="1" w:color="auto"/>
          <w:right w:val="single" w:sz="4" w:space="4" w:color="auto"/>
        </w:pBdr>
        <w:jc w:val="center"/>
        <w:rPr>
          <w:rFonts w:ascii="Rockwell" w:hAnsi="Rockwell"/>
          <w:b/>
          <w:sz w:val="32"/>
          <w:szCs w:val="32"/>
        </w:rPr>
      </w:pPr>
      <w:r w:rsidRPr="002927E5">
        <w:rPr>
          <w:rFonts w:ascii="Rockwell" w:hAnsi="Rockwell"/>
          <w:b/>
          <w:sz w:val="32"/>
          <w:szCs w:val="32"/>
        </w:rPr>
        <w:t>Les entreprises du CAC-40</w:t>
      </w:r>
    </w:p>
    <w:p w14:paraId="6AF51D1D" w14:textId="2A1B6DCF" w:rsidR="002927E5" w:rsidRDefault="002927E5" w:rsidP="002927E5">
      <w:pPr>
        <w:pBdr>
          <w:top w:val="single" w:sz="4" w:space="1" w:color="auto"/>
          <w:left w:val="single" w:sz="4" w:space="4" w:color="auto"/>
          <w:bottom w:val="single" w:sz="4" w:space="1" w:color="auto"/>
          <w:right w:val="single" w:sz="4" w:space="4" w:color="auto"/>
        </w:pBdr>
        <w:jc w:val="both"/>
        <w:rPr>
          <w:rFonts w:ascii="Rockwell" w:hAnsi="Rockwell"/>
          <w:sz w:val="32"/>
          <w:szCs w:val="32"/>
        </w:rPr>
      </w:pPr>
      <w:r>
        <w:rPr>
          <w:rFonts w:ascii="Rockwell" w:hAnsi="Rockwell"/>
          <w:sz w:val="32"/>
          <w:szCs w:val="32"/>
        </w:rPr>
        <w:t xml:space="preserve">Faisons une petite sélection : </w:t>
      </w:r>
      <w:r w:rsidR="00F66861">
        <w:rPr>
          <w:rFonts w:ascii="Rockwell" w:hAnsi="Rockwell"/>
          <w:sz w:val="32"/>
          <w:szCs w:val="32"/>
        </w:rPr>
        <w:t xml:space="preserve">Accor, Airbus, Air Liquide, Bouygues, BNP-Paribas, Carrefour, Crédit Agricole, Danone, Dassault, ENGIE (ex GDF-Suez), Hermès, L’Oréal, LVMH, Michelin, Orange, Pernod-Ricard, Peugeot, Renault, Sanofi, Sté générale, Total, </w:t>
      </w:r>
      <w:r>
        <w:rPr>
          <w:rFonts w:ascii="Rockwell" w:hAnsi="Rockwell"/>
          <w:sz w:val="32"/>
          <w:szCs w:val="32"/>
        </w:rPr>
        <w:t xml:space="preserve">Vinci et Vivendi. Quelles sont les plus grosses ? en termes de capitalisation boursière, c’est LVMH qui est de loi la première avec 200 Mds de capital amassé par Bernard ARNAUD. On trouve ensuite L’Oréal avec plus de 150 Mds de capitalisation boursière et Sanofi avec un peu plus de 100 Mds. </w:t>
      </w:r>
    </w:p>
    <w:p w14:paraId="504BDD4E" w14:textId="77777777" w:rsidR="00FC1914" w:rsidRDefault="00FC1914" w:rsidP="00CC63CC">
      <w:pPr>
        <w:jc w:val="both"/>
        <w:rPr>
          <w:rFonts w:ascii="Rockwell" w:hAnsi="Rockwell"/>
          <w:sz w:val="32"/>
          <w:szCs w:val="32"/>
        </w:rPr>
      </w:pPr>
    </w:p>
    <w:p w14:paraId="0DC9C7CB" w14:textId="77777777" w:rsidR="00BB6CFB" w:rsidRDefault="00BB6CFB" w:rsidP="00A3590E">
      <w:pPr>
        <w:jc w:val="both"/>
        <w:rPr>
          <w:rFonts w:ascii="Rockwell" w:hAnsi="Rockwell"/>
          <w:b/>
          <w:sz w:val="56"/>
          <w:szCs w:val="56"/>
          <w:u w:val="single"/>
        </w:rPr>
      </w:pPr>
    </w:p>
    <w:p w14:paraId="30CFDEDA" w14:textId="3A208CE4" w:rsidR="00A3590E" w:rsidRPr="00BC19A9" w:rsidRDefault="00A3590E" w:rsidP="00A3590E">
      <w:pPr>
        <w:jc w:val="both"/>
        <w:rPr>
          <w:rFonts w:ascii="Rockwell" w:hAnsi="Rockwell"/>
          <w:b/>
          <w:sz w:val="56"/>
          <w:szCs w:val="56"/>
          <w:u w:val="single"/>
        </w:rPr>
      </w:pPr>
      <w:r>
        <w:rPr>
          <w:rFonts w:ascii="Rockwell" w:hAnsi="Rockwell"/>
          <w:b/>
          <w:sz w:val="56"/>
          <w:szCs w:val="56"/>
          <w:u w:val="single"/>
        </w:rPr>
        <w:t>CHAP. 1 : CHAMP D’APPLICATION DE L’IS</w:t>
      </w:r>
    </w:p>
    <w:p w14:paraId="0975E4B6" w14:textId="78B326F6" w:rsidR="00FC1914" w:rsidRDefault="00FC1914" w:rsidP="00CC63CC">
      <w:pPr>
        <w:jc w:val="both"/>
        <w:rPr>
          <w:rFonts w:ascii="Rockwell" w:hAnsi="Rockwell"/>
          <w:sz w:val="32"/>
          <w:szCs w:val="32"/>
        </w:rPr>
      </w:pPr>
      <w:r>
        <w:rPr>
          <w:rFonts w:ascii="Rockwell" w:hAnsi="Rockwell"/>
          <w:sz w:val="32"/>
          <w:szCs w:val="32"/>
        </w:rPr>
        <w:t xml:space="preserve">Il faut par conséquent distinguer les entreprises taxées à l’IR et celles qui sont taxées à l’IS pour ne pas les confondre. </w:t>
      </w:r>
      <w:r w:rsidR="0096240E">
        <w:rPr>
          <w:rFonts w:ascii="Rockwell" w:hAnsi="Rockwell"/>
          <w:sz w:val="32"/>
          <w:szCs w:val="32"/>
        </w:rPr>
        <w:t>Après cette distinction, nous examinerons le champ d’application territorial de l’IS.</w:t>
      </w:r>
    </w:p>
    <w:p w14:paraId="76432E2F" w14:textId="77777777" w:rsidR="00131599" w:rsidRDefault="00131599" w:rsidP="00CC63CC">
      <w:pPr>
        <w:jc w:val="both"/>
        <w:rPr>
          <w:rFonts w:ascii="Rockwell" w:hAnsi="Rockwell"/>
          <w:sz w:val="32"/>
          <w:szCs w:val="32"/>
        </w:rPr>
      </w:pPr>
    </w:p>
    <w:p w14:paraId="0A4FC208" w14:textId="7DCACFB7" w:rsidR="00131599" w:rsidRPr="00D16394" w:rsidRDefault="00D16394" w:rsidP="00CC63CC">
      <w:pPr>
        <w:jc w:val="both"/>
        <w:rPr>
          <w:rFonts w:ascii="Rockwell" w:hAnsi="Rockwell"/>
          <w:b/>
          <w:sz w:val="32"/>
          <w:szCs w:val="32"/>
          <w:u w:val="single"/>
        </w:rPr>
      </w:pPr>
      <w:r w:rsidRPr="00D16394">
        <w:rPr>
          <w:rFonts w:ascii="Rockwell" w:hAnsi="Rockwell"/>
          <w:b/>
          <w:sz w:val="32"/>
          <w:szCs w:val="32"/>
          <w:u w:val="single"/>
        </w:rPr>
        <w:t xml:space="preserve">Section 1 : </w:t>
      </w:r>
      <w:r w:rsidR="00131599" w:rsidRPr="00D16394">
        <w:rPr>
          <w:rFonts w:ascii="Rockwell" w:hAnsi="Rockwell"/>
          <w:b/>
          <w:sz w:val="32"/>
          <w:szCs w:val="32"/>
          <w:u w:val="single"/>
        </w:rPr>
        <w:t>Les entreprises taxées à l’IR</w:t>
      </w:r>
    </w:p>
    <w:p w14:paraId="5C29648E" w14:textId="24FAD102" w:rsidR="00131599" w:rsidRDefault="00433CD5" w:rsidP="00CC63CC">
      <w:pPr>
        <w:jc w:val="both"/>
        <w:rPr>
          <w:rFonts w:ascii="Rockwell" w:hAnsi="Rockwell"/>
          <w:sz w:val="32"/>
          <w:szCs w:val="32"/>
        </w:rPr>
      </w:pPr>
      <w:r>
        <w:rPr>
          <w:rFonts w:ascii="Rockwell" w:hAnsi="Rockwell"/>
          <w:sz w:val="32"/>
          <w:szCs w:val="32"/>
        </w:rPr>
        <w:t>Ces entreprises ne sont pas taxées à l’IS mais à l’IR. Il peut s’agir soit d’entreprises individuelles soit de sociétés de personnes.</w:t>
      </w:r>
    </w:p>
    <w:p w14:paraId="419C51CC" w14:textId="77777777" w:rsidR="00433CD5" w:rsidRDefault="00433CD5" w:rsidP="00CC63CC">
      <w:pPr>
        <w:jc w:val="both"/>
        <w:rPr>
          <w:rFonts w:ascii="Rockwell" w:hAnsi="Rockwell"/>
          <w:sz w:val="32"/>
          <w:szCs w:val="32"/>
        </w:rPr>
      </w:pPr>
    </w:p>
    <w:p w14:paraId="0FBF5CA2" w14:textId="688F90FF" w:rsidR="00131599" w:rsidRDefault="00D16394" w:rsidP="00CC63CC">
      <w:pPr>
        <w:jc w:val="both"/>
        <w:rPr>
          <w:rFonts w:ascii="Rockwell" w:hAnsi="Rockwell"/>
          <w:sz w:val="32"/>
          <w:szCs w:val="32"/>
        </w:rPr>
      </w:pPr>
      <w:r>
        <w:rPr>
          <w:rFonts w:ascii="Rockwell" w:hAnsi="Rockwell"/>
          <w:sz w:val="32"/>
          <w:szCs w:val="32"/>
          <w:u w:val="single"/>
        </w:rPr>
        <w:t xml:space="preserve">A/ </w:t>
      </w:r>
      <w:r w:rsidR="00131599" w:rsidRPr="000B1C1A">
        <w:rPr>
          <w:rFonts w:ascii="Rockwell" w:hAnsi="Rockwell"/>
          <w:sz w:val="32"/>
          <w:szCs w:val="32"/>
          <w:u w:val="single"/>
        </w:rPr>
        <w:t>Ce sont tout d’abord les entreprises individuelles</w:t>
      </w:r>
      <w:r w:rsidR="00131599">
        <w:rPr>
          <w:rFonts w:ascii="Rockwell" w:hAnsi="Rockwell"/>
          <w:sz w:val="32"/>
          <w:szCs w:val="32"/>
        </w:rPr>
        <w:t xml:space="preserve"> dans lesquelles c’est le chef d’entreprise qui sera taxé de manière personnelle avec un régime d’entreprise individuelle. Comme nous l’avons déjà vu dans notre leçon sur l’R, le CGI distingue les différents types de bénéfices générés par l’activité professionnelle</w:t>
      </w:r>
      <w:r w:rsidR="00DF70D9">
        <w:rPr>
          <w:rFonts w:ascii="Rockwell" w:hAnsi="Rockwell"/>
          <w:sz w:val="32"/>
          <w:szCs w:val="32"/>
        </w:rPr>
        <w:t xml:space="preserve"> mais comme c’est l’ensemble du revenu qui sera taxé à l’IR, le CGI fait une seule masse des revenus du chef d’entreprise et des autres membres du foyer fiscal. Nous l’avons vu, les trois catégories fiscales des BIC, BA et BNC sont différentes mais en réalité elles reposent sur des principes communs</w:t>
      </w:r>
      <w:r w:rsidR="00D33CF3">
        <w:rPr>
          <w:rFonts w:ascii="Rockwell" w:hAnsi="Rockwell"/>
          <w:sz w:val="32"/>
          <w:szCs w:val="32"/>
        </w:rPr>
        <w:t xml:space="preserve">. </w:t>
      </w:r>
    </w:p>
    <w:p w14:paraId="41005D64" w14:textId="77777777" w:rsidR="00D33CF3" w:rsidRDefault="00D33CF3" w:rsidP="00CC63CC">
      <w:pPr>
        <w:jc w:val="both"/>
        <w:rPr>
          <w:rFonts w:ascii="Rockwell" w:hAnsi="Rockwell"/>
          <w:sz w:val="32"/>
          <w:szCs w:val="32"/>
        </w:rPr>
      </w:pPr>
    </w:p>
    <w:p w14:paraId="460B937A" w14:textId="1827ED94" w:rsidR="00D33CF3" w:rsidRDefault="00D16394" w:rsidP="00CC63CC">
      <w:pPr>
        <w:jc w:val="both"/>
        <w:rPr>
          <w:rFonts w:ascii="Rockwell" w:hAnsi="Rockwell"/>
          <w:sz w:val="32"/>
          <w:szCs w:val="32"/>
        </w:rPr>
      </w:pPr>
      <w:r>
        <w:rPr>
          <w:rFonts w:ascii="Rockwell" w:hAnsi="Rockwell"/>
          <w:sz w:val="32"/>
          <w:szCs w:val="32"/>
        </w:rPr>
        <w:t xml:space="preserve">§1 </w:t>
      </w:r>
      <w:r w:rsidR="00D33CF3">
        <w:rPr>
          <w:rFonts w:ascii="Rockwell" w:hAnsi="Rockwell"/>
          <w:sz w:val="32"/>
          <w:szCs w:val="32"/>
        </w:rPr>
        <w:t>Pour les commerçants, artisans et industriels, ce sont les BIC.</w:t>
      </w:r>
    </w:p>
    <w:p w14:paraId="42622214" w14:textId="234CF113" w:rsidR="00EA68FC" w:rsidRDefault="00920674" w:rsidP="00CC63CC">
      <w:pPr>
        <w:jc w:val="both"/>
        <w:rPr>
          <w:rFonts w:ascii="Rockwell" w:hAnsi="Rockwell"/>
          <w:sz w:val="32"/>
          <w:szCs w:val="32"/>
        </w:rPr>
      </w:pPr>
      <w:r>
        <w:rPr>
          <w:rFonts w:ascii="Rockwell" w:hAnsi="Rockwell"/>
          <w:sz w:val="32"/>
          <w:szCs w:val="32"/>
        </w:rPr>
        <w:t>Cette catégorie relevant de l’art. 34 du CGI, inclut</w:t>
      </w:r>
      <w:r w:rsidR="00EA68FC">
        <w:rPr>
          <w:rFonts w:ascii="Rockwell" w:hAnsi="Rockwell"/>
          <w:sz w:val="32"/>
          <w:szCs w:val="32"/>
        </w:rPr>
        <w:t xml:space="preserve"> </w:t>
      </w:r>
      <w:r>
        <w:rPr>
          <w:rFonts w:ascii="Rockwell" w:hAnsi="Rockwell"/>
          <w:sz w:val="32"/>
          <w:szCs w:val="32"/>
        </w:rPr>
        <w:t xml:space="preserve">toutes </w:t>
      </w:r>
      <w:r w:rsidR="00EA68FC">
        <w:rPr>
          <w:rFonts w:ascii="Rockwell" w:hAnsi="Rockwell"/>
          <w:sz w:val="32"/>
          <w:szCs w:val="32"/>
        </w:rPr>
        <w:t>les personnes qui ont le statut juridique de commerçant inscrit au registre du commerce</w:t>
      </w:r>
      <w:r>
        <w:rPr>
          <w:rFonts w:ascii="Rockwell" w:hAnsi="Rockwell"/>
          <w:sz w:val="32"/>
          <w:szCs w:val="32"/>
        </w:rPr>
        <w:t>. La jurisprudence y ajoute trois critères : 1 une activité habituelle c’est-à-dire professionnelle, 2 une activité lucrative ayant pour but de rapporter de l’argent, 3 une activité indépendante dans laquelle le chef d’entreprise doit agir pour son propre compte sans être un salarié déguisé. La jurisprudence est très pragmatique, même si le contribuable n’est pas inscrit au RC, le fait de remplir les 3 conditions le rendra redevable de l’IR au titre des BIC (CE 28 juillet 1999, Grillet, Req n° 185525</w:t>
      </w:r>
      <w:r w:rsidR="007714F2">
        <w:rPr>
          <w:rFonts w:ascii="Rockwell" w:hAnsi="Rockwell"/>
          <w:sz w:val="32"/>
          <w:szCs w:val="32"/>
        </w:rPr>
        <w:t xml:space="preserve"> pour un trafiquant de drogue</w:t>
      </w:r>
      <w:r>
        <w:rPr>
          <w:rFonts w:ascii="Rockwell" w:hAnsi="Rockwell"/>
          <w:sz w:val="32"/>
          <w:szCs w:val="32"/>
        </w:rPr>
        <w:t xml:space="preserve">. </w:t>
      </w:r>
      <w:r w:rsidR="007F45B5">
        <w:rPr>
          <w:rFonts w:ascii="Rockwell" w:hAnsi="Rockwell"/>
          <w:sz w:val="32"/>
          <w:szCs w:val="32"/>
        </w:rPr>
        <w:t xml:space="preserve">Le CGI ajoute ainsi à la catégorie des BIC les </w:t>
      </w:r>
      <w:r w:rsidR="007F45B5" w:rsidRPr="007714F2">
        <w:rPr>
          <w:rFonts w:ascii="Rockwell" w:hAnsi="Rockwell"/>
          <w:sz w:val="32"/>
          <w:szCs w:val="32"/>
          <w:u w:val="single"/>
        </w:rPr>
        <w:t>BIC non professionnels</w:t>
      </w:r>
      <w:r w:rsidR="007F45B5">
        <w:rPr>
          <w:rFonts w:ascii="Rockwell" w:hAnsi="Rockwell"/>
          <w:sz w:val="32"/>
          <w:szCs w:val="32"/>
        </w:rPr>
        <w:t xml:space="preserve"> qui sont ainsi assimilés à cette catégorie comme les revenus des locations meublées alors qu</w:t>
      </w:r>
      <w:r w:rsidR="007714F2">
        <w:rPr>
          <w:rFonts w:ascii="Rockwell" w:hAnsi="Rockwell"/>
          <w:sz w:val="32"/>
          <w:szCs w:val="32"/>
        </w:rPr>
        <w:t>e les contribuables</w:t>
      </w:r>
      <w:r w:rsidR="007F45B5">
        <w:rPr>
          <w:rFonts w:ascii="Rockwell" w:hAnsi="Rockwell"/>
          <w:sz w:val="32"/>
          <w:szCs w:val="32"/>
        </w:rPr>
        <w:t xml:space="preserve"> exercent une activité professionnelle principale</w:t>
      </w:r>
      <w:r w:rsidR="007714F2">
        <w:rPr>
          <w:rFonts w:ascii="Rockwell" w:hAnsi="Rockwell"/>
          <w:sz w:val="32"/>
          <w:szCs w:val="32"/>
        </w:rPr>
        <w:t xml:space="preserve">. Par exemple un salarié qui arrondit ses fins de mois en louant en meublé un petit appartement à un étudiant de septembre à juin et aux vacanciers pendant l’été. Le fait de louer en meublé signifie qu’il y a des prestations de services comme des réparations de machines à laver, des draps et de la vaisselle à fournir ce qui assimile cette activité à une activité commerciale. </w:t>
      </w:r>
    </w:p>
    <w:p w14:paraId="5D9B5B68" w14:textId="77777777" w:rsidR="00D631BA" w:rsidRDefault="00D631BA" w:rsidP="00CC63CC">
      <w:pPr>
        <w:jc w:val="both"/>
        <w:rPr>
          <w:rFonts w:ascii="Rockwell" w:hAnsi="Rockwell"/>
          <w:sz w:val="32"/>
          <w:szCs w:val="32"/>
        </w:rPr>
      </w:pPr>
    </w:p>
    <w:p w14:paraId="2C0E9852" w14:textId="0980FCD7" w:rsidR="00D631BA" w:rsidRDefault="00D16394" w:rsidP="00CC63CC">
      <w:pPr>
        <w:jc w:val="both"/>
        <w:rPr>
          <w:rFonts w:ascii="Rockwell" w:hAnsi="Rockwell"/>
          <w:sz w:val="32"/>
          <w:szCs w:val="32"/>
        </w:rPr>
      </w:pPr>
      <w:r>
        <w:rPr>
          <w:rFonts w:ascii="Rockwell" w:hAnsi="Rockwell"/>
          <w:sz w:val="32"/>
          <w:szCs w:val="32"/>
        </w:rPr>
        <w:t xml:space="preserve">§2 </w:t>
      </w:r>
      <w:r w:rsidR="00D631BA">
        <w:rPr>
          <w:rFonts w:ascii="Rockwell" w:hAnsi="Rockwell"/>
          <w:sz w:val="32"/>
          <w:szCs w:val="32"/>
        </w:rPr>
        <w:t>Pour les exploitants agricoles ce sont les BA</w:t>
      </w:r>
      <w:r w:rsidR="002927E5">
        <w:rPr>
          <w:rFonts w:ascii="Rockwell" w:hAnsi="Rockwell"/>
          <w:sz w:val="32"/>
          <w:szCs w:val="32"/>
        </w:rPr>
        <w:t xml:space="preserve"> (art. 63 du CGI).</w:t>
      </w:r>
    </w:p>
    <w:p w14:paraId="46F65F13" w14:textId="7ED4EC9F" w:rsidR="00D631BA" w:rsidRDefault="00D631BA" w:rsidP="00CC63CC">
      <w:pPr>
        <w:jc w:val="both"/>
        <w:rPr>
          <w:rFonts w:ascii="Rockwell" w:hAnsi="Rockwell"/>
          <w:sz w:val="32"/>
          <w:szCs w:val="32"/>
        </w:rPr>
      </w:pPr>
      <w:r>
        <w:rPr>
          <w:rFonts w:ascii="Rockwell" w:hAnsi="Rockwell"/>
          <w:sz w:val="32"/>
          <w:szCs w:val="32"/>
        </w:rPr>
        <w:t>Ces revenus sont ceux d’une exploitation agricole, agriculture et élevage ainsi que tous les revenus annexes comme les ventes de produits,</w:t>
      </w:r>
      <w:r w:rsidR="004A7A21">
        <w:rPr>
          <w:rFonts w:ascii="Rockwell" w:hAnsi="Rockwell"/>
          <w:sz w:val="32"/>
          <w:szCs w:val="32"/>
        </w:rPr>
        <w:t xml:space="preserve"> les promenades à cheval</w:t>
      </w:r>
      <w:r w:rsidR="0012056B">
        <w:rPr>
          <w:rFonts w:ascii="Rockwell" w:hAnsi="Rockwell"/>
          <w:sz w:val="32"/>
          <w:szCs w:val="32"/>
        </w:rPr>
        <w:t xml:space="preserve">. </w:t>
      </w:r>
      <w:r w:rsidR="002927E5">
        <w:rPr>
          <w:rFonts w:ascii="Rockwell" w:hAnsi="Rockwell"/>
          <w:sz w:val="32"/>
          <w:szCs w:val="32"/>
        </w:rPr>
        <w:t>Attention, en cas de revente de produits qui ne sont pas issus de la production de l’exploitation agricole, ce seront des BIC</w:t>
      </w:r>
      <w:r w:rsidR="00993904">
        <w:rPr>
          <w:rFonts w:ascii="Rockwell" w:hAnsi="Rockwell"/>
          <w:sz w:val="32"/>
          <w:szCs w:val="32"/>
        </w:rPr>
        <w:t>, idem pour les gîtes. Si l’exploitant loue des emplacements de camping, ils devront être déclarés en revenus fonciers.</w:t>
      </w:r>
    </w:p>
    <w:p w14:paraId="07ACEC6A" w14:textId="77777777" w:rsidR="0012056B" w:rsidRDefault="0012056B" w:rsidP="00CC63CC">
      <w:pPr>
        <w:jc w:val="both"/>
        <w:rPr>
          <w:rFonts w:ascii="Rockwell" w:hAnsi="Rockwell"/>
          <w:sz w:val="32"/>
          <w:szCs w:val="32"/>
        </w:rPr>
      </w:pPr>
    </w:p>
    <w:p w14:paraId="0FF6597B" w14:textId="6C5C8172" w:rsidR="0012056B" w:rsidRDefault="00D16394" w:rsidP="00CC63CC">
      <w:pPr>
        <w:jc w:val="both"/>
        <w:rPr>
          <w:rFonts w:ascii="Rockwell" w:hAnsi="Rockwell"/>
          <w:sz w:val="32"/>
          <w:szCs w:val="32"/>
        </w:rPr>
      </w:pPr>
      <w:r>
        <w:rPr>
          <w:rFonts w:ascii="Rockwell" w:hAnsi="Rockwell"/>
          <w:sz w:val="32"/>
          <w:szCs w:val="32"/>
        </w:rPr>
        <w:t xml:space="preserve">§ 3 </w:t>
      </w:r>
      <w:r w:rsidR="0012056B">
        <w:rPr>
          <w:rFonts w:ascii="Rockwell" w:hAnsi="Rockwell"/>
          <w:sz w:val="32"/>
          <w:szCs w:val="32"/>
        </w:rPr>
        <w:t>Pour les professions libérales, ce sont les BNC</w:t>
      </w:r>
    </w:p>
    <w:p w14:paraId="78D38C47" w14:textId="40E8D97A" w:rsidR="0012056B" w:rsidRDefault="0012056B" w:rsidP="00CC63CC">
      <w:pPr>
        <w:jc w:val="both"/>
        <w:rPr>
          <w:rFonts w:ascii="Rockwell" w:hAnsi="Rockwell"/>
          <w:sz w:val="32"/>
          <w:szCs w:val="32"/>
        </w:rPr>
      </w:pPr>
      <w:r>
        <w:rPr>
          <w:rFonts w:ascii="Rockwell" w:hAnsi="Rockwell"/>
          <w:sz w:val="32"/>
          <w:szCs w:val="32"/>
        </w:rPr>
        <w:t>Les professions libérales ne sont pas des commerçants</w:t>
      </w:r>
      <w:r w:rsidR="009B2305">
        <w:rPr>
          <w:rFonts w:ascii="Rockwell" w:hAnsi="Rockwell"/>
          <w:sz w:val="32"/>
          <w:szCs w:val="32"/>
        </w:rPr>
        <w:t>. Ce sont les professions libérales qui représentent les bénéfices les plus importants de cette catégorie. S’y ajoutent également les bénéfices des personnes qui ont une activité principale</w:t>
      </w:r>
      <w:r w:rsidR="000B1C1A">
        <w:rPr>
          <w:rFonts w:ascii="Rockwell" w:hAnsi="Rockwell"/>
          <w:sz w:val="32"/>
          <w:szCs w:val="32"/>
        </w:rPr>
        <w:t xml:space="preserve">. </w:t>
      </w:r>
      <w:r w:rsidR="00D16394">
        <w:rPr>
          <w:rFonts w:ascii="Rockwell" w:hAnsi="Rockwell"/>
          <w:sz w:val="32"/>
          <w:szCs w:val="32"/>
        </w:rPr>
        <w:t xml:space="preserve">Les BNC sont la voiture-balai des bénéfices qu’on ne sait pas où classer. C’est une catégorie fourre-tout. </w:t>
      </w:r>
      <w:r w:rsidR="00993904">
        <w:rPr>
          <w:rFonts w:ascii="Rockwell" w:hAnsi="Rockwell"/>
          <w:sz w:val="32"/>
          <w:szCs w:val="32"/>
        </w:rPr>
        <w:t xml:space="preserve">Malgré tout, l’article 92 du CGI précise qu’il doit s’agir d’une activité intellectuelle ou artistique. La jurisprudence a précisé </w:t>
      </w:r>
      <w:r w:rsidR="00993904">
        <w:rPr>
          <w:rFonts w:ascii="Rockwell" w:hAnsi="Rockwell"/>
          <w:sz w:val="32"/>
          <w:szCs w:val="32"/>
        </w:rPr>
        <w:lastRenderedPageBreak/>
        <w:t>que les opérations de bourse exercées à titre habituel pouvaient être classées en BNC, voir CE 1</w:t>
      </w:r>
      <w:r w:rsidR="00D95E0C">
        <w:rPr>
          <w:rFonts w:ascii="Rockwell" w:hAnsi="Rockwell"/>
          <w:sz w:val="32"/>
          <w:szCs w:val="32"/>
        </w:rPr>
        <w:t>4</w:t>
      </w:r>
      <w:r w:rsidR="00993904">
        <w:rPr>
          <w:rFonts w:ascii="Rockwell" w:hAnsi="Rockwell"/>
          <w:sz w:val="32"/>
          <w:szCs w:val="32"/>
        </w:rPr>
        <w:t xml:space="preserve"> février 2001, Boniface.</w:t>
      </w:r>
    </w:p>
    <w:p w14:paraId="7EEC4CBB" w14:textId="77777777" w:rsidR="000B1C1A" w:rsidRDefault="000B1C1A" w:rsidP="00CC63CC">
      <w:pPr>
        <w:jc w:val="both"/>
        <w:rPr>
          <w:rFonts w:ascii="Rockwell" w:hAnsi="Rockwell"/>
          <w:sz w:val="32"/>
          <w:szCs w:val="32"/>
        </w:rPr>
      </w:pPr>
    </w:p>
    <w:p w14:paraId="2777DE70" w14:textId="77777777" w:rsidR="00BB6CFB" w:rsidRDefault="00BB6CFB" w:rsidP="00CC63CC">
      <w:pPr>
        <w:jc w:val="both"/>
        <w:rPr>
          <w:rFonts w:ascii="Rockwell" w:hAnsi="Rockwell"/>
          <w:sz w:val="32"/>
          <w:szCs w:val="32"/>
          <w:u w:val="single"/>
        </w:rPr>
      </w:pPr>
    </w:p>
    <w:p w14:paraId="75D238CB" w14:textId="77777777" w:rsidR="00BB6CFB" w:rsidRDefault="00BB6CFB" w:rsidP="00CC63CC">
      <w:pPr>
        <w:jc w:val="both"/>
        <w:rPr>
          <w:rFonts w:ascii="Rockwell" w:hAnsi="Rockwell"/>
          <w:sz w:val="32"/>
          <w:szCs w:val="32"/>
          <w:u w:val="single"/>
        </w:rPr>
      </w:pPr>
    </w:p>
    <w:p w14:paraId="4A48A4E8" w14:textId="3C9D339F" w:rsidR="000B1C1A" w:rsidRPr="00D16394" w:rsidRDefault="00D16394" w:rsidP="00CC63CC">
      <w:pPr>
        <w:jc w:val="both"/>
        <w:rPr>
          <w:rFonts w:ascii="Rockwell" w:hAnsi="Rockwell"/>
          <w:sz w:val="32"/>
          <w:szCs w:val="32"/>
          <w:u w:val="single"/>
        </w:rPr>
      </w:pPr>
      <w:r w:rsidRPr="00D16394">
        <w:rPr>
          <w:rFonts w:ascii="Rockwell" w:hAnsi="Rockwell"/>
          <w:sz w:val="32"/>
          <w:szCs w:val="32"/>
          <w:u w:val="single"/>
        </w:rPr>
        <w:t xml:space="preserve">B/ </w:t>
      </w:r>
      <w:r w:rsidR="000B1C1A" w:rsidRPr="00D16394">
        <w:rPr>
          <w:rFonts w:ascii="Rockwell" w:hAnsi="Rockwell"/>
          <w:sz w:val="32"/>
          <w:szCs w:val="32"/>
          <w:u w:val="single"/>
        </w:rPr>
        <w:t>On trouve également des sociétés taxées à l’IR</w:t>
      </w:r>
    </w:p>
    <w:p w14:paraId="11FBE2EE" w14:textId="77777777" w:rsidR="000B1C1A" w:rsidRDefault="000B1C1A" w:rsidP="00CC63CC">
      <w:pPr>
        <w:jc w:val="both"/>
        <w:rPr>
          <w:rFonts w:ascii="Rockwell" w:hAnsi="Rockwell"/>
          <w:sz w:val="32"/>
          <w:szCs w:val="32"/>
        </w:rPr>
      </w:pPr>
    </w:p>
    <w:p w14:paraId="5AD61361" w14:textId="1D786BDD" w:rsidR="000B1C1A" w:rsidRDefault="005F3A88" w:rsidP="00CC63CC">
      <w:pPr>
        <w:jc w:val="both"/>
        <w:rPr>
          <w:rFonts w:ascii="Rockwell" w:hAnsi="Rockwell"/>
          <w:sz w:val="32"/>
          <w:szCs w:val="32"/>
        </w:rPr>
      </w:pPr>
      <w:r>
        <w:rPr>
          <w:rFonts w:ascii="Rockwell" w:hAnsi="Rockwell"/>
          <w:sz w:val="32"/>
          <w:szCs w:val="32"/>
        </w:rPr>
        <w:t xml:space="preserve">La plupart des sociétés taxées à l’IR sont des </w:t>
      </w:r>
      <w:r w:rsidRPr="00D16394">
        <w:rPr>
          <w:rFonts w:ascii="Rockwell" w:hAnsi="Rockwell"/>
          <w:sz w:val="32"/>
          <w:szCs w:val="32"/>
          <w:u w:val="single"/>
        </w:rPr>
        <w:t>sociétés de personnes</w:t>
      </w:r>
      <w:r>
        <w:rPr>
          <w:rFonts w:ascii="Rockwell" w:hAnsi="Rockwell"/>
          <w:sz w:val="32"/>
          <w:szCs w:val="32"/>
        </w:rPr>
        <w:t xml:space="preserve"> comme </w:t>
      </w:r>
      <w:r w:rsidR="00433CD5">
        <w:rPr>
          <w:rFonts w:ascii="Rockwell" w:hAnsi="Rockwell"/>
          <w:sz w:val="32"/>
          <w:szCs w:val="32"/>
        </w:rPr>
        <w:t xml:space="preserve">par exemple </w:t>
      </w:r>
      <w:r>
        <w:rPr>
          <w:rFonts w:ascii="Rockwell" w:hAnsi="Rockwell"/>
          <w:sz w:val="32"/>
          <w:szCs w:val="32"/>
        </w:rPr>
        <w:t xml:space="preserve">des sociétés civiles professionnelles comme c’est </w:t>
      </w:r>
      <w:r w:rsidR="00D16394">
        <w:rPr>
          <w:rFonts w:ascii="Rockwell" w:hAnsi="Rockwell"/>
          <w:sz w:val="32"/>
          <w:szCs w:val="32"/>
        </w:rPr>
        <w:t xml:space="preserve">souvent </w:t>
      </w:r>
      <w:r>
        <w:rPr>
          <w:rFonts w:ascii="Rockwell" w:hAnsi="Rockwell"/>
          <w:sz w:val="32"/>
          <w:szCs w:val="32"/>
        </w:rPr>
        <w:t>le cas pour des avocats qui se sont regroupés.</w:t>
      </w:r>
      <w:r w:rsidR="00084122">
        <w:rPr>
          <w:rFonts w:ascii="Rockwell" w:hAnsi="Rockwell"/>
          <w:sz w:val="32"/>
          <w:szCs w:val="32"/>
        </w:rPr>
        <w:t xml:space="preserve"> Les sociétés de personnes sont organisées selon un principe de solidarité</w:t>
      </w:r>
      <w:r w:rsidR="00E4600C">
        <w:rPr>
          <w:rFonts w:ascii="Rockwell" w:hAnsi="Rockwell"/>
          <w:sz w:val="32"/>
          <w:szCs w:val="32"/>
        </w:rPr>
        <w:t xml:space="preserve"> dans lequel chaque personne est responsable personnellement et pécuniairement sur son patrimoine personnel alors que les sociétés de capitaux sont organisées selon l’apport en capital de chacun. </w:t>
      </w:r>
      <w:r w:rsidR="00FA1B23">
        <w:rPr>
          <w:rFonts w:ascii="Rockwell" w:hAnsi="Rockwell"/>
          <w:sz w:val="32"/>
          <w:szCs w:val="32"/>
        </w:rPr>
        <w:t xml:space="preserve">Au contraire, les sociétés de capitaux vont être taxées à l’IS. </w:t>
      </w:r>
      <w:r w:rsidR="00FD5826">
        <w:rPr>
          <w:rFonts w:ascii="Rockwell" w:hAnsi="Rockwell"/>
          <w:sz w:val="32"/>
          <w:szCs w:val="32"/>
        </w:rPr>
        <w:t xml:space="preserve">Les sociétés de personnes sont des </w:t>
      </w:r>
      <w:r w:rsidR="00FD5826" w:rsidRPr="00D16394">
        <w:rPr>
          <w:rFonts w:ascii="Rockwell" w:hAnsi="Rockwell"/>
          <w:sz w:val="32"/>
          <w:szCs w:val="32"/>
          <w:u w:val="single"/>
        </w:rPr>
        <w:t>sociétés à responsabilité illimitée</w:t>
      </w:r>
      <w:r w:rsidR="00FD5826">
        <w:rPr>
          <w:rFonts w:ascii="Rockwell" w:hAnsi="Rockwell"/>
          <w:sz w:val="32"/>
          <w:szCs w:val="32"/>
        </w:rPr>
        <w:t xml:space="preserve"> alors que les sociétés de capitaux sont des soci</w:t>
      </w:r>
      <w:r w:rsidR="00433CD5">
        <w:rPr>
          <w:rFonts w:ascii="Rockwell" w:hAnsi="Rockwell"/>
          <w:sz w:val="32"/>
          <w:szCs w:val="32"/>
        </w:rPr>
        <w:t>étés à responsabilité limitée. Dans une société de capitaux, c</w:t>
      </w:r>
      <w:r w:rsidR="00FD5826">
        <w:rPr>
          <w:rFonts w:ascii="Rockwell" w:hAnsi="Rockwell"/>
          <w:sz w:val="32"/>
          <w:szCs w:val="32"/>
        </w:rPr>
        <w:t>haque personne ne peut voir sa responsabilité engagée au-delà de sa part de capital</w:t>
      </w:r>
      <w:r w:rsidR="00937D05">
        <w:rPr>
          <w:rFonts w:ascii="Rockwell" w:hAnsi="Rockwell"/>
          <w:sz w:val="32"/>
          <w:szCs w:val="32"/>
        </w:rPr>
        <w:t xml:space="preserve">. Pour le droit fiscal, ce qui compte ce n’est pas le statut juridique de la société mais </w:t>
      </w:r>
      <w:r w:rsidR="00937D05" w:rsidRPr="00D16394">
        <w:rPr>
          <w:rFonts w:ascii="Rockwell" w:hAnsi="Rockwell"/>
          <w:sz w:val="32"/>
          <w:szCs w:val="32"/>
          <w:u w:val="single"/>
        </w:rPr>
        <w:t>les bénéfices qui se dégagent</w:t>
      </w:r>
      <w:r w:rsidR="00937D05">
        <w:rPr>
          <w:rFonts w:ascii="Rockwell" w:hAnsi="Rockwell"/>
          <w:sz w:val="32"/>
          <w:szCs w:val="32"/>
        </w:rPr>
        <w:t xml:space="preserve"> dès lors qu’ils ont été distribués. Pour les bénéfices des sociétés civiles professionnelles ils sont taxés à l’IR dans les BNC. Pour les bénéfices d’</w:t>
      </w:r>
      <w:r w:rsidR="00D16394">
        <w:rPr>
          <w:rFonts w:ascii="Rockwell" w:hAnsi="Rockwell"/>
          <w:sz w:val="32"/>
          <w:szCs w:val="32"/>
        </w:rPr>
        <w:t xml:space="preserve">une société civile d’exploitation agricole ou d’un groupement agricole d’exploitation en commun, ils seront taxés à l’IR au titre des BA. Pour les bénéfices des sociétés en nom collectif ou des groupements d’intérêt économique, ils seront taxés à l’IR au titre des BIC. Au fond, ce qui compte, ce n’est pas la société ni la structure puisqu’elle ne paye pas d’impôts mais les personnes. Et les personnes seront taxées à l’IR avec les 3 catégories que nous connaissons : BIC, BA et BNC. </w:t>
      </w:r>
      <w:r w:rsidR="004425F4">
        <w:rPr>
          <w:rFonts w:ascii="Rockwell" w:hAnsi="Rockwell"/>
          <w:sz w:val="32"/>
          <w:szCs w:val="32"/>
        </w:rPr>
        <w:t xml:space="preserve">Chaque associé </w:t>
      </w:r>
      <w:r w:rsidR="00D87601">
        <w:rPr>
          <w:rFonts w:ascii="Rockwell" w:hAnsi="Rockwell"/>
          <w:sz w:val="32"/>
          <w:szCs w:val="32"/>
        </w:rPr>
        <w:t xml:space="preserve">va payer son IR de manière personnelle et la société de personne sera transparente. C’est la théorie de la transparence fiscale : la société ne compte pas, ce qui compte c’est </w:t>
      </w:r>
      <w:r w:rsidR="00D87601" w:rsidRPr="004F1562">
        <w:rPr>
          <w:rFonts w:ascii="Rockwell" w:hAnsi="Rockwell"/>
          <w:sz w:val="32"/>
          <w:szCs w:val="32"/>
          <w:u w:val="single"/>
        </w:rPr>
        <w:t>la personne taxée à l’IR</w:t>
      </w:r>
      <w:r w:rsidR="00D87601">
        <w:rPr>
          <w:rFonts w:ascii="Rockwell" w:hAnsi="Rockwell"/>
          <w:sz w:val="32"/>
          <w:szCs w:val="32"/>
        </w:rPr>
        <w:t>. La société de personnes ne sera pas taxée en tant que telle, elle sera fiscalement transparente. Les deux contreparties de la</w:t>
      </w:r>
      <w:r w:rsidR="004F1562">
        <w:rPr>
          <w:rFonts w:ascii="Rockwell" w:hAnsi="Rockwell"/>
          <w:sz w:val="32"/>
          <w:szCs w:val="32"/>
        </w:rPr>
        <w:t xml:space="preserve"> transparence, son</w:t>
      </w:r>
      <w:r w:rsidR="00D87601">
        <w:rPr>
          <w:rFonts w:ascii="Rockwell" w:hAnsi="Rockwell"/>
          <w:sz w:val="32"/>
          <w:szCs w:val="32"/>
        </w:rPr>
        <w:t xml:space="preserve">t la responsabilité illimitée des associés et la taxation à l’IR. </w:t>
      </w:r>
    </w:p>
    <w:p w14:paraId="3D55E9F1" w14:textId="77777777" w:rsidR="004F1562" w:rsidRDefault="004F1562" w:rsidP="00CC63CC">
      <w:pPr>
        <w:jc w:val="both"/>
        <w:rPr>
          <w:rFonts w:ascii="Rockwell" w:hAnsi="Rockwell"/>
          <w:sz w:val="32"/>
          <w:szCs w:val="32"/>
        </w:rPr>
      </w:pPr>
    </w:p>
    <w:p w14:paraId="5B961EE2" w14:textId="77777777" w:rsidR="003E25A6" w:rsidRDefault="003E25A6" w:rsidP="004F1562">
      <w:pPr>
        <w:jc w:val="both"/>
        <w:rPr>
          <w:rFonts w:ascii="Rockwell" w:hAnsi="Rockwell"/>
          <w:b/>
          <w:sz w:val="32"/>
          <w:szCs w:val="32"/>
          <w:u w:val="single"/>
        </w:rPr>
      </w:pPr>
    </w:p>
    <w:p w14:paraId="0DB2460C" w14:textId="77777777" w:rsidR="003E25A6" w:rsidRDefault="003E25A6" w:rsidP="004F1562">
      <w:pPr>
        <w:jc w:val="both"/>
        <w:rPr>
          <w:rFonts w:ascii="Rockwell" w:hAnsi="Rockwell"/>
          <w:b/>
          <w:sz w:val="32"/>
          <w:szCs w:val="32"/>
          <w:u w:val="single"/>
        </w:rPr>
      </w:pPr>
    </w:p>
    <w:p w14:paraId="30B827FB" w14:textId="77777777" w:rsidR="003E25A6" w:rsidRDefault="003E25A6" w:rsidP="004F1562">
      <w:pPr>
        <w:jc w:val="both"/>
        <w:rPr>
          <w:rFonts w:ascii="Rockwell" w:hAnsi="Rockwell"/>
          <w:b/>
          <w:sz w:val="32"/>
          <w:szCs w:val="32"/>
          <w:u w:val="single"/>
        </w:rPr>
      </w:pPr>
    </w:p>
    <w:p w14:paraId="488590D1" w14:textId="77777777" w:rsidR="003E25A6" w:rsidRDefault="003E25A6" w:rsidP="004F1562">
      <w:pPr>
        <w:jc w:val="both"/>
        <w:rPr>
          <w:rFonts w:ascii="Rockwell" w:hAnsi="Rockwell"/>
          <w:b/>
          <w:sz w:val="32"/>
          <w:szCs w:val="32"/>
          <w:u w:val="single"/>
        </w:rPr>
      </w:pPr>
    </w:p>
    <w:p w14:paraId="05839758" w14:textId="77777777" w:rsidR="003E25A6" w:rsidRDefault="003E25A6" w:rsidP="004F1562">
      <w:pPr>
        <w:jc w:val="both"/>
        <w:rPr>
          <w:rFonts w:ascii="Rockwell" w:hAnsi="Rockwell"/>
          <w:b/>
          <w:sz w:val="32"/>
          <w:szCs w:val="32"/>
          <w:u w:val="single"/>
        </w:rPr>
      </w:pPr>
    </w:p>
    <w:p w14:paraId="6E6E73CF" w14:textId="77777777" w:rsidR="003E25A6" w:rsidRDefault="003E25A6" w:rsidP="004F1562">
      <w:pPr>
        <w:jc w:val="both"/>
        <w:rPr>
          <w:rFonts w:ascii="Rockwell" w:hAnsi="Rockwell"/>
          <w:b/>
          <w:sz w:val="32"/>
          <w:szCs w:val="32"/>
          <w:u w:val="single"/>
        </w:rPr>
      </w:pPr>
    </w:p>
    <w:p w14:paraId="0D04B95C" w14:textId="77777777" w:rsidR="003E25A6" w:rsidRDefault="003E25A6" w:rsidP="004F1562">
      <w:pPr>
        <w:jc w:val="both"/>
        <w:rPr>
          <w:rFonts w:ascii="Rockwell" w:hAnsi="Rockwell"/>
          <w:b/>
          <w:sz w:val="32"/>
          <w:szCs w:val="32"/>
          <w:u w:val="single"/>
        </w:rPr>
      </w:pPr>
    </w:p>
    <w:p w14:paraId="29891240" w14:textId="1E5DBC12" w:rsidR="004F1562" w:rsidRPr="00D16394" w:rsidRDefault="0096240E" w:rsidP="004F1562">
      <w:pPr>
        <w:jc w:val="both"/>
        <w:rPr>
          <w:rFonts w:ascii="Rockwell" w:hAnsi="Rockwell"/>
          <w:b/>
          <w:sz w:val="32"/>
          <w:szCs w:val="32"/>
          <w:u w:val="single"/>
        </w:rPr>
      </w:pPr>
      <w:r>
        <w:rPr>
          <w:rFonts w:ascii="Rockwell" w:hAnsi="Rockwell"/>
          <w:b/>
          <w:sz w:val="32"/>
          <w:szCs w:val="32"/>
          <w:u w:val="single"/>
        </w:rPr>
        <w:t>Section 2</w:t>
      </w:r>
      <w:r w:rsidR="004F1562" w:rsidRPr="00D16394">
        <w:rPr>
          <w:rFonts w:ascii="Rockwell" w:hAnsi="Rockwell"/>
          <w:b/>
          <w:sz w:val="32"/>
          <w:szCs w:val="32"/>
          <w:u w:val="single"/>
        </w:rPr>
        <w:t> : Les entreprises taxées à l’</w:t>
      </w:r>
      <w:r w:rsidR="004F1562">
        <w:rPr>
          <w:rFonts w:ascii="Rockwell" w:hAnsi="Rockwell"/>
          <w:b/>
          <w:sz w:val="32"/>
          <w:szCs w:val="32"/>
          <w:u w:val="single"/>
        </w:rPr>
        <w:t>IS</w:t>
      </w:r>
    </w:p>
    <w:p w14:paraId="23FC850D" w14:textId="098FD88D" w:rsidR="004F1562" w:rsidRDefault="004F1562" w:rsidP="00CC63CC">
      <w:pPr>
        <w:jc w:val="both"/>
        <w:rPr>
          <w:rFonts w:ascii="Rockwell" w:hAnsi="Rockwell"/>
          <w:sz w:val="32"/>
          <w:szCs w:val="32"/>
        </w:rPr>
      </w:pPr>
      <w:r>
        <w:rPr>
          <w:rFonts w:ascii="Rockwell" w:hAnsi="Rockwell"/>
          <w:sz w:val="32"/>
          <w:szCs w:val="32"/>
        </w:rPr>
        <w:t xml:space="preserve">Ce sont </w:t>
      </w:r>
      <w:r w:rsidR="00E728ED">
        <w:rPr>
          <w:rFonts w:ascii="Rockwell" w:hAnsi="Rockwell"/>
          <w:sz w:val="32"/>
          <w:szCs w:val="32"/>
        </w:rPr>
        <w:t>des sociétés de capitaux. A la différence de l’IR qui ne s’intéresse qu’</w:t>
      </w:r>
      <w:r w:rsidR="00973731">
        <w:rPr>
          <w:rFonts w:ascii="Rockwell" w:hAnsi="Rockwell"/>
          <w:sz w:val="32"/>
          <w:szCs w:val="32"/>
        </w:rPr>
        <w:t>aux bénéfices sans tenir compte de la nature de l’entreprise, l’IS fait des distinctions entre les différentes catégories d’entrep</w:t>
      </w:r>
      <w:r w:rsidR="001E53A4">
        <w:rPr>
          <w:rFonts w:ascii="Rockwell" w:hAnsi="Rockwell"/>
          <w:sz w:val="32"/>
          <w:szCs w:val="32"/>
        </w:rPr>
        <w:t>r</w:t>
      </w:r>
      <w:r w:rsidR="00973731">
        <w:rPr>
          <w:rFonts w:ascii="Rockwell" w:hAnsi="Rockwell"/>
          <w:sz w:val="32"/>
          <w:szCs w:val="32"/>
        </w:rPr>
        <w:t>ises</w:t>
      </w:r>
      <w:r w:rsidR="001E53A4">
        <w:rPr>
          <w:rFonts w:ascii="Rockwell" w:hAnsi="Rockwell"/>
          <w:sz w:val="32"/>
          <w:szCs w:val="32"/>
        </w:rPr>
        <w:t>.</w:t>
      </w:r>
    </w:p>
    <w:p w14:paraId="2A07D555" w14:textId="77777777" w:rsidR="001E53A4" w:rsidRDefault="001E53A4" w:rsidP="00CC63CC">
      <w:pPr>
        <w:jc w:val="both"/>
        <w:rPr>
          <w:rFonts w:ascii="Rockwell" w:hAnsi="Rockwell"/>
          <w:sz w:val="32"/>
          <w:szCs w:val="32"/>
        </w:rPr>
      </w:pPr>
    </w:p>
    <w:p w14:paraId="6E735550" w14:textId="628782F7" w:rsidR="001E53A4" w:rsidRPr="0096240E" w:rsidRDefault="001E53A4" w:rsidP="00CC63CC">
      <w:pPr>
        <w:jc w:val="both"/>
        <w:rPr>
          <w:rFonts w:ascii="Rockwell" w:hAnsi="Rockwell"/>
          <w:sz w:val="32"/>
          <w:szCs w:val="32"/>
          <w:u w:val="single"/>
        </w:rPr>
      </w:pPr>
      <w:r w:rsidRPr="0096240E">
        <w:rPr>
          <w:rFonts w:ascii="Rockwell" w:hAnsi="Rockwell"/>
          <w:sz w:val="32"/>
          <w:szCs w:val="32"/>
          <w:u w:val="single"/>
        </w:rPr>
        <w:t>A/ Les entreprises obligatoirement soumises à l’IS</w:t>
      </w:r>
      <w:r w:rsidR="00D62257" w:rsidRPr="0096240E">
        <w:rPr>
          <w:rFonts w:ascii="Rockwell" w:hAnsi="Rockwell"/>
          <w:sz w:val="32"/>
          <w:szCs w:val="32"/>
          <w:u w:val="single"/>
        </w:rPr>
        <w:t> :</w:t>
      </w:r>
    </w:p>
    <w:p w14:paraId="03B82489" w14:textId="07C76295" w:rsidR="00D62257" w:rsidRDefault="00D62257" w:rsidP="00CC63CC">
      <w:pPr>
        <w:jc w:val="both"/>
        <w:rPr>
          <w:rFonts w:ascii="Rockwell" w:hAnsi="Rockwell"/>
          <w:sz w:val="32"/>
          <w:szCs w:val="32"/>
        </w:rPr>
      </w:pPr>
      <w:r>
        <w:rPr>
          <w:rFonts w:ascii="Rockwell" w:hAnsi="Rockwell"/>
          <w:sz w:val="32"/>
          <w:szCs w:val="32"/>
        </w:rPr>
        <w:t xml:space="preserve">C’est l’article 206-1 du CGI </w:t>
      </w:r>
      <w:r w:rsidR="005866A3">
        <w:rPr>
          <w:rFonts w:ascii="Rockwell" w:hAnsi="Rockwell"/>
          <w:sz w:val="32"/>
          <w:szCs w:val="32"/>
        </w:rPr>
        <w:t xml:space="preserve">et les articles suivants </w:t>
      </w:r>
      <w:r>
        <w:rPr>
          <w:rFonts w:ascii="Rockwell" w:hAnsi="Rockwell"/>
          <w:sz w:val="32"/>
          <w:szCs w:val="32"/>
        </w:rPr>
        <w:t>qui fixe</w:t>
      </w:r>
      <w:r w:rsidR="005866A3">
        <w:rPr>
          <w:rFonts w:ascii="Rockwell" w:hAnsi="Rockwell"/>
          <w:sz w:val="32"/>
          <w:szCs w:val="32"/>
        </w:rPr>
        <w:t>nt</w:t>
      </w:r>
      <w:r>
        <w:rPr>
          <w:rFonts w:ascii="Rockwell" w:hAnsi="Rockwell"/>
          <w:sz w:val="32"/>
          <w:szCs w:val="32"/>
        </w:rPr>
        <w:t xml:space="preserve"> la liste des sociétés de capitaux qui sont redevables de l’IS. Il s’agit des sociétés suivantes :</w:t>
      </w:r>
    </w:p>
    <w:p w14:paraId="1B9DAE15" w14:textId="61C4E199" w:rsidR="00D62257" w:rsidRPr="005857C9" w:rsidRDefault="00D62257" w:rsidP="00CC63CC">
      <w:pPr>
        <w:jc w:val="both"/>
        <w:rPr>
          <w:rFonts w:ascii="Rockwell" w:hAnsi="Rockwell"/>
          <w:b/>
          <w:sz w:val="32"/>
          <w:szCs w:val="32"/>
        </w:rPr>
      </w:pPr>
      <w:r w:rsidRPr="005857C9">
        <w:rPr>
          <w:rFonts w:ascii="Rockwell" w:hAnsi="Rockwell"/>
          <w:b/>
          <w:sz w:val="32"/>
          <w:szCs w:val="32"/>
        </w:rPr>
        <w:t>Sociétés anonymes (SA)</w:t>
      </w:r>
    </w:p>
    <w:p w14:paraId="0B2C1BD9" w14:textId="297AA97D" w:rsidR="00D62257" w:rsidRDefault="00D62257" w:rsidP="00CC63CC">
      <w:pPr>
        <w:jc w:val="both"/>
        <w:rPr>
          <w:rFonts w:ascii="Rockwell" w:hAnsi="Rockwell"/>
          <w:sz w:val="32"/>
          <w:szCs w:val="32"/>
        </w:rPr>
      </w:pPr>
      <w:r>
        <w:rPr>
          <w:rFonts w:ascii="Rockwell" w:hAnsi="Rockwell"/>
          <w:sz w:val="32"/>
          <w:szCs w:val="32"/>
        </w:rPr>
        <w:t>Sociétés par actions simplifiées (SAS)</w:t>
      </w:r>
    </w:p>
    <w:p w14:paraId="590F8578" w14:textId="28350C24" w:rsidR="00D62257" w:rsidRDefault="00D62257" w:rsidP="00CC63CC">
      <w:pPr>
        <w:jc w:val="both"/>
        <w:rPr>
          <w:rFonts w:ascii="Rockwell" w:hAnsi="Rockwell"/>
          <w:sz w:val="32"/>
          <w:szCs w:val="32"/>
        </w:rPr>
      </w:pPr>
      <w:r>
        <w:rPr>
          <w:rFonts w:ascii="Rockwell" w:hAnsi="Rockwell"/>
          <w:sz w:val="32"/>
          <w:szCs w:val="32"/>
        </w:rPr>
        <w:t>Sociétés en commandite par actions (SCA)</w:t>
      </w:r>
    </w:p>
    <w:p w14:paraId="43803319" w14:textId="18F885AF" w:rsidR="00D62257" w:rsidRPr="005857C9" w:rsidRDefault="00D62257" w:rsidP="00CC63CC">
      <w:pPr>
        <w:jc w:val="both"/>
        <w:rPr>
          <w:rFonts w:ascii="Rockwell" w:hAnsi="Rockwell"/>
          <w:b/>
          <w:sz w:val="32"/>
          <w:szCs w:val="32"/>
        </w:rPr>
      </w:pPr>
      <w:r w:rsidRPr="005857C9">
        <w:rPr>
          <w:rFonts w:ascii="Rockwell" w:hAnsi="Rockwell"/>
          <w:b/>
          <w:sz w:val="32"/>
          <w:szCs w:val="32"/>
        </w:rPr>
        <w:t>Sociétés à responsabilité limitée (SARL)</w:t>
      </w:r>
    </w:p>
    <w:p w14:paraId="5492A609" w14:textId="7B28BD83" w:rsidR="00D62257" w:rsidRDefault="00D62257" w:rsidP="00CC63CC">
      <w:pPr>
        <w:jc w:val="both"/>
        <w:rPr>
          <w:rFonts w:ascii="Rockwell" w:hAnsi="Rockwell"/>
          <w:sz w:val="32"/>
          <w:szCs w:val="32"/>
        </w:rPr>
      </w:pPr>
      <w:r>
        <w:rPr>
          <w:rFonts w:ascii="Rockwell" w:hAnsi="Rockwell"/>
          <w:sz w:val="32"/>
          <w:szCs w:val="32"/>
        </w:rPr>
        <w:t xml:space="preserve">Sociétés coopératives leurs unions </w:t>
      </w:r>
    </w:p>
    <w:p w14:paraId="0EEED331" w14:textId="642258B3" w:rsidR="00D62257" w:rsidRDefault="00D62257" w:rsidP="00CC63CC">
      <w:pPr>
        <w:jc w:val="both"/>
        <w:rPr>
          <w:rFonts w:ascii="Rockwell" w:hAnsi="Rockwell"/>
          <w:sz w:val="32"/>
          <w:szCs w:val="32"/>
        </w:rPr>
      </w:pPr>
      <w:r>
        <w:rPr>
          <w:rFonts w:ascii="Rockwell" w:hAnsi="Rockwell"/>
          <w:sz w:val="32"/>
          <w:szCs w:val="32"/>
        </w:rPr>
        <w:t>Sociétés d’exercice libéral (SEL)</w:t>
      </w:r>
    </w:p>
    <w:p w14:paraId="02E69D04" w14:textId="64401498" w:rsidR="00D62257" w:rsidRDefault="00D62257" w:rsidP="00CC63CC">
      <w:pPr>
        <w:jc w:val="both"/>
        <w:rPr>
          <w:rFonts w:ascii="Rockwell" w:hAnsi="Rockwell"/>
          <w:sz w:val="32"/>
          <w:szCs w:val="32"/>
        </w:rPr>
      </w:pPr>
      <w:r>
        <w:rPr>
          <w:rFonts w:ascii="Rockwell" w:hAnsi="Rockwell"/>
          <w:sz w:val="32"/>
          <w:szCs w:val="32"/>
        </w:rPr>
        <w:t>Sociétés d’exercice libéral à responsabilité limitée (SELARL)</w:t>
      </w:r>
    </w:p>
    <w:p w14:paraId="09502FA2" w14:textId="6457E80D" w:rsidR="00D62257" w:rsidRDefault="00D62257" w:rsidP="00CC63CC">
      <w:pPr>
        <w:jc w:val="both"/>
        <w:rPr>
          <w:rFonts w:ascii="Rockwell" w:hAnsi="Rockwell"/>
          <w:sz w:val="32"/>
          <w:szCs w:val="32"/>
        </w:rPr>
      </w:pPr>
      <w:r>
        <w:rPr>
          <w:rFonts w:ascii="Rockwell" w:hAnsi="Rockwell"/>
          <w:sz w:val="32"/>
          <w:szCs w:val="32"/>
        </w:rPr>
        <w:t>Ces sociétés dégagent de la richesse sous la forme d’un bénéfice clairement identifié. Ces sociétés ne sont pas transparentes et apparaissent au regard de la loi fiscale en tant que telles comme des entreprises taxables</w:t>
      </w:r>
      <w:r w:rsidR="00420174">
        <w:rPr>
          <w:rFonts w:ascii="Rockwell" w:hAnsi="Rockwell"/>
          <w:sz w:val="32"/>
          <w:szCs w:val="32"/>
        </w:rPr>
        <w:t xml:space="preserve">. </w:t>
      </w:r>
    </w:p>
    <w:p w14:paraId="72E2DD16" w14:textId="77777777" w:rsidR="005B14D2" w:rsidRDefault="005B14D2" w:rsidP="00CC63CC">
      <w:pPr>
        <w:jc w:val="both"/>
        <w:rPr>
          <w:rFonts w:ascii="Rockwell" w:hAnsi="Rockwell"/>
          <w:sz w:val="32"/>
          <w:szCs w:val="32"/>
        </w:rPr>
      </w:pPr>
    </w:p>
    <w:p w14:paraId="0448811E" w14:textId="6061F40B" w:rsidR="005B14D2" w:rsidRPr="0096240E" w:rsidRDefault="005B14D2" w:rsidP="00CC63CC">
      <w:pPr>
        <w:jc w:val="both"/>
        <w:rPr>
          <w:rFonts w:ascii="Rockwell" w:hAnsi="Rockwell"/>
          <w:sz w:val="32"/>
          <w:szCs w:val="32"/>
          <w:u w:val="single"/>
        </w:rPr>
      </w:pPr>
      <w:r w:rsidRPr="0096240E">
        <w:rPr>
          <w:rFonts w:ascii="Rockwell" w:hAnsi="Rockwell"/>
          <w:sz w:val="32"/>
          <w:szCs w:val="32"/>
          <w:u w:val="single"/>
        </w:rPr>
        <w:t>B/ Les entreprises taxables à l’IS sur option :</w:t>
      </w:r>
    </w:p>
    <w:p w14:paraId="28DC4003" w14:textId="081B3DC4" w:rsidR="005B14D2" w:rsidRDefault="005B14D2" w:rsidP="00CC63CC">
      <w:pPr>
        <w:jc w:val="both"/>
        <w:rPr>
          <w:rFonts w:ascii="Rockwell" w:hAnsi="Rockwell"/>
          <w:sz w:val="32"/>
          <w:szCs w:val="32"/>
        </w:rPr>
      </w:pPr>
      <w:r>
        <w:rPr>
          <w:rFonts w:ascii="Rockwell" w:hAnsi="Rockwell"/>
          <w:sz w:val="32"/>
          <w:szCs w:val="32"/>
        </w:rPr>
        <w:t>C</w:t>
      </w:r>
      <w:r w:rsidR="00FA7D03">
        <w:rPr>
          <w:rFonts w:ascii="Rockwell" w:hAnsi="Rockwell"/>
          <w:sz w:val="32"/>
          <w:szCs w:val="32"/>
        </w:rPr>
        <w:t>e sont des sociétés qui ne sont pas des sociétés de capitaux</w:t>
      </w:r>
      <w:r>
        <w:rPr>
          <w:rFonts w:ascii="Rockwell" w:hAnsi="Rockwell"/>
          <w:sz w:val="32"/>
          <w:szCs w:val="32"/>
        </w:rPr>
        <w:t xml:space="preserve"> qui ont décidé d’elles-mêmes de choisir l’IS plutôt que l’IR. </w:t>
      </w:r>
    </w:p>
    <w:p w14:paraId="7E9F19C3" w14:textId="77777777" w:rsidR="00A26BC3" w:rsidRDefault="00FA7D03" w:rsidP="00CC63CC">
      <w:pPr>
        <w:jc w:val="both"/>
        <w:rPr>
          <w:rFonts w:ascii="Rockwell" w:hAnsi="Rockwell"/>
          <w:sz w:val="32"/>
          <w:szCs w:val="32"/>
        </w:rPr>
      </w:pPr>
      <w:r>
        <w:rPr>
          <w:rFonts w:ascii="Rockwell" w:hAnsi="Rockwell"/>
          <w:sz w:val="32"/>
          <w:szCs w:val="32"/>
        </w:rPr>
        <w:t xml:space="preserve">Sociétés civiles ayant une activité industrielle ou commerciale </w:t>
      </w:r>
    </w:p>
    <w:p w14:paraId="181D3E74" w14:textId="583FCB08" w:rsidR="00FA7D03" w:rsidRDefault="00CF54D0" w:rsidP="00CC63CC">
      <w:pPr>
        <w:jc w:val="both"/>
        <w:rPr>
          <w:rFonts w:ascii="Rockwell" w:hAnsi="Rockwell"/>
          <w:sz w:val="32"/>
          <w:szCs w:val="32"/>
        </w:rPr>
      </w:pPr>
      <w:r>
        <w:rPr>
          <w:rFonts w:ascii="Rockwell" w:hAnsi="Rockwell"/>
          <w:sz w:val="32"/>
          <w:szCs w:val="32"/>
        </w:rPr>
        <w:t>(ce qui exclut les SCI de construction-vente</w:t>
      </w:r>
      <w:r w:rsidR="00A26BC3">
        <w:rPr>
          <w:rFonts w:ascii="Rockwell" w:hAnsi="Rockwell"/>
          <w:sz w:val="32"/>
          <w:szCs w:val="32"/>
        </w:rPr>
        <w:t>. NB Maurice COZIAN raconte comment une SCI peut être taxée par inadvertance à l’IS en ayant dans son parc immobilier des appartements meublés…</w:t>
      </w:r>
    </w:p>
    <w:p w14:paraId="25342A68" w14:textId="7C02CC6D" w:rsidR="00FA7D03" w:rsidRDefault="00FA7D03" w:rsidP="00CC63CC">
      <w:pPr>
        <w:jc w:val="both"/>
        <w:rPr>
          <w:rFonts w:ascii="Rockwell" w:hAnsi="Rockwell"/>
          <w:sz w:val="32"/>
          <w:szCs w:val="32"/>
        </w:rPr>
      </w:pPr>
      <w:r>
        <w:rPr>
          <w:rFonts w:ascii="Rockwell" w:hAnsi="Rockwell"/>
          <w:sz w:val="32"/>
          <w:szCs w:val="32"/>
        </w:rPr>
        <w:t>Associations réalisant des activités lucratives (art. 206-2 CGI).</w:t>
      </w:r>
    </w:p>
    <w:p w14:paraId="0F92563B" w14:textId="1ED4509D" w:rsidR="00FA7D03" w:rsidRDefault="00FA7D03" w:rsidP="00CC63CC">
      <w:pPr>
        <w:jc w:val="both"/>
        <w:rPr>
          <w:rFonts w:ascii="Rockwell" w:hAnsi="Rockwell"/>
          <w:sz w:val="32"/>
          <w:szCs w:val="32"/>
        </w:rPr>
      </w:pPr>
      <w:r>
        <w:rPr>
          <w:rFonts w:ascii="Rockwell" w:hAnsi="Rockwell"/>
          <w:sz w:val="32"/>
          <w:szCs w:val="32"/>
        </w:rPr>
        <w:t>Les sociétés de personnes</w:t>
      </w:r>
      <w:r w:rsidR="00CF54D0">
        <w:rPr>
          <w:rFonts w:ascii="Rockwell" w:hAnsi="Rockwell"/>
          <w:sz w:val="32"/>
          <w:szCs w:val="32"/>
        </w:rPr>
        <w:t> :</w:t>
      </w:r>
    </w:p>
    <w:p w14:paraId="52255EF7" w14:textId="7EB911F4" w:rsidR="00CF54D0" w:rsidRDefault="00CF54D0" w:rsidP="00CC63CC">
      <w:pPr>
        <w:jc w:val="both"/>
        <w:rPr>
          <w:rFonts w:ascii="Rockwell" w:hAnsi="Rockwell"/>
          <w:sz w:val="32"/>
          <w:szCs w:val="32"/>
        </w:rPr>
      </w:pPr>
      <w:r>
        <w:rPr>
          <w:rFonts w:ascii="Rockwell" w:hAnsi="Rockwell"/>
          <w:sz w:val="32"/>
          <w:szCs w:val="32"/>
        </w:rPr>
        <w:t>Sociétés en nom collectif</w:t>
      </w:r>
    </w:p>
    <w:p w14:paraId="25788FAA" w14:textId="463E5186" w:rsidR="00CF54D0" w:rsidRDefault="00CF54D0" w:rsidP="00CC63CC">
      <w:pPr>
        <w:jc w:val="both"/>
        <w:rPr>
          <w:rFonts w:ascii="Rockwell" w:hAnsi="Rockwell"/>
          <w:sz w:val="32"/>
          <w:szCs w:val="32"/>
        </w:rPr>
      </w:pPr>
      <w:r>
        <w:rPr>
          <w:rFonts w:ascii="Rockwell" w:hAnsi="Rockwell"/>
          <w:sz w:val="32"/>
          <w:szCs w:val="32"/>
        </w:rPr>
        <w:t>Sociétés en commandite simple</w:t>
      </w:r>
    </w:p>
    <w:p w14:paraId="1D2C4420" w14:textId="777EB4E2" w:rsidR="00CF54D0" w:rsidRDefault="00CF54D0" w:rsidP="00CC63CC">
      <w:pPr>
        <w:jc w:val="both"/>
        <w:rPr>
          <w:rFonts w:ascii="Rockwell" w:hAnsi="Rockwell"/>
          <w:sz w:val="32"/>
          <w:szCs w:val="32"/>
        </w:rPr>
      </w:pPr>
      <w:r>
        <w:rPr>
          <w:rFonts w:ascii="Rockwell" w:hAnsi="Rockwell"/>
          <w:sz w:val="32"/>
          <w:szCs w:val="32"/>
        </w:rPr>
        <w:lastRenderedPageBreak/>
        <w:t xml:space="preserve">Sociétés </w:t>
      </w:r>
      <w:r w:rsidR="00DC1C96">
        <w:rPr>
          <w:rFonts w:ascii="Rockwell" w:hAnsi="Rockwell"/>
          <w:sz w:val="32"/>
          <w:szCs w:val="32"/>
        </w:rPr>
        <w:t>individuelles ou exploitations agricoles à responsabilité limitée (EIRL et EARL)</w:t>
      </w:r>
    </w:p>
    <w:p w14:paraId="11C2C14F" w14:textId="035E43DB" w:rsidR="00DC1C96" w:rsidRDefault="00DC1C96" w:rsidP="00CC63CC">
      <w:pPr>
        <w:jc w:val="both"/>
        <w:rPr>
          <w:rFonts w:ascii="Rockwell" w:hAnsi="Rockwell"/>
          <w:sz w:val="32"/>
          <w:szCs w:val="32"/>
        </w:rPr>
      </w:pPr>
      <w:r>
        <w:rPr>
          <w:rFonts w:ascii="Rockwell" w:hAnsi="Rockwell"/>
          <w:sz w:val="32"/>
          <w:szCs w:val="32"/>
        </w:rPr>
        <w:t>Entreprises unipersonnelles à responsabilité limitée (EURL) et agricoles (EARL)</w:t>
      </w:r>
    </w:p>
    <w:p w14:paraId="53E7893E" w14:textId="225CD530" w:rsidR="00DC1C96" w:rsidRDefault="00DC1C96" w:rsidP="00CC63CC">
      <w:pPr>
        <w:jc w:val="both"/>
        <w:rPr>
          <w:rFonts w:ascii="Rockwell" w:hAnsi="Rockwell"/>
          <w:sz w:val="32"/>
          <w:szCs w:val="32"/>
        </w:rPr>
      </w:pPr>
    </w:p>
    <w:p w14:paraId="5E6B5FC3" w14:textId="77777777" w:rsidR="00A26BC3" w:rsidRDefault="00A26BC3" w:rsidP="00CC63CC">
      <w:pPr>
        <w:jc w:val="both"/>
        <w:rPr>
          <w:rFonts w:ascii="Rockwell" w:hAnsi="Rockwell"/>
          <w:sz w:val="32"/>
          <w:szCs w:val="32"/>
        </w:rPr>
      </w:pPr>
    </w:p>
    <w:p w14:paraId="7385918B" w14:textId="48557565" w:rsidR="00CB6038" w:rsidRPr="004B7D1A" w:rsidRDefault="006501E6" w:rsidP="00CC63CC">
      <w:pPr>
        <w:jc w:val="both"/>
        <w:rPr>
          <w:rFonts w:ascii="Rockwell" w:hAnsi="Rockwell"/>
          <w:sz w:val="32"/>
          <w:szCs w:val="32"/>
          <w:u w:val="single"/>
        </w:rPr>
      </w:pPr>
      <w:r w:rsidRPr="004B7D1A">
        <w:rPr>
          <w:rFonts w:ascii="Rockwell" w:hAnsi="Rockwell"/>
          <w:sz w:val="32"/>
          <w:szCs w:val="32"/>
          <w:u w:val="single"/>
        </w:rPr>
        <w:t>C/ Les entrepris</w:t>
      </w:r>
      <w:r w:rsidR="00CB6038" w:rsidRPr="004B7D1A">
        <w:rPr>
          <w:rFonts w:ascii="Rockwell" w:hAnsi="Rockwell"/>
          <w:sz w:val="32"/>
          <w:szCs w:val="32"/>
          <w:u w:val="single"/>
        </w:rPr>
        <w:t>es exonérées :</w:t>
      </w:r>
    </w:p>
    <w:p w14:paraId="25AB6FE6" w14:textId="2E3AD89B" w:rsidR="00CB6038" w:rsidRDefault="00E74FF1" w:rsidP="00CC63CC">
      <w:pPr>
        <w:jc w:val="both"/>
        <w:rPr>
          <w:rFonts w:ascii="Rockwell" w:hAnsi="Rockwell"/>
          <w:sz w:val="32"/>
          <w:szCs w:val="32"/>
        </w:rPr>
      </w:pPr>
      <w:r>
        <w:rPr>
          <w:rFonts w:ascii="Rockwell" w:hAnsi="Rockwell"/>
          <w:sz w:val="32"/>
          <w:szCs w:val="32"/>
        </w:rPr>
        <w:t xml:space="preserve">Il faut préciser que certaines zones particulières sont exonérées de manière temporaire comme c’est le cas pour les zones franches urbaines, les bassins d’emploi à redynamiser ou encore les zones de revitalisation rurale. On veut ainsi attirer des entreprises dans ces zones en leur accordant des avantages fiscaux. Mais comme ce sont des impôts d’État, c’est une décision de l’État qui classe la zone. </w:t>
      </w:r>
      <w:r w:rsidR="00310BDC">
        <w:rPr>
          <w:rFonts w:ascii="Rockwell" w:hAnsi="Rockwell"/>
          <w:sz w:val="32"/>
          <w:szCs w:val="32"/>
        </w:rPr>
        <w:t>L’</w:t>
      </w:r>
      <w:r w:rsidR="002A01E2">
        <w:rPr>
          <w:rFonts w:ascii="Rockwell" w:hAnsi="Rockwell"/>
          <w:sz w:val="32"/>
          <w:szCs w:val="32"/>
        </w:rPr>
        <w:t>art. 207</w:t>
      </w:r>
      <w:r w:rsidR="00310BDC">
        <w:rPr>
          <w:rFonts w:ascii="Rockwell" w:hAnsi="Rockwell"/>
          <w:sz w:val="32"/>
          <w:szCs w:val="32"/>
        </w:rPr>
        <w:t xml:space="preserve"> du CGI fixe 18 cas différents d’exonération de l’IS. En gros, o</w:t>
      </w:r>
      <w:r>
        <w:rPr>
          <w:rFonts w:ascii="Rockwell" w:hAnsi="Rockwell"/>
          <w:sz w:val="32"/>
          <w:szCs w:val="32"/>
        </w:rPr>
        <w:t>n trouve deux types d’exonérations</w:t>
      </w:r>
      <w:r w:rsidR="004C23C4">
        <w:rPr>
          <w:rFonts w:ascii="Rockwell" w:hAnsi="Rockwell"/>
          <w:sz w:val="32"/>
          <w:szCs w:val="32"/>
        </w:rPr>
        <w:t xml:space="preserve"> : </w:t>
      </w:r>
      <w:r w:rsidR="006501E6">
        <w:rPr>
          <w:rFonts w:ascii="Rockwell" w:hAnsi="Rockwell"/>
          <w:sz w:val="32"/>
          <w:szCs w:val="32"/>
        </w:rPr>
        <w:t>pour les personnes publiques et pour les organismes dépourvus de but lucratif.</w:t>
      </w:r>
      <w:r w:rsidR="00310BDC">
        <w:rPr>
          <w:rFonts w:ascii="Rockwell" w:hAnsi="Rockwell"/>
          <w:sz w:val="32"/>
          <w:szCs w:val="32"/>
        </w:rPr>
        <w:t xml:space="preserve"> </w:t>
      </w:r>
    </w:p>
    <w:p w14:paraId="1185882C" w14:textId="77777777" w:rsidR="006501E6" w:rsidRDefault="006501E6" w:rsidP="00CC63CC">
      <w:pPr>
        <w:jc w:val="both"/>
        <w:rPr>
          <w:rFonts w:ascii="Rockwell" w:hAnsi="Rockwell"/>
          <w:sz w:val="32"/>
          <w:szCs w:val="32"/>
        </w:rPr>
      </w:pPr>
    </w:p>
    <w:p w14:paraId="20D84122" w14:textId="453EC402" w:rsidR="006501E6" w:rsidRDefault="006501E6" w:rsidP="00CC63CC">
      <w:pPr>
        <w:jc w:val="both"/>
        <w:rPr>
          <w:rFonts w:ascii="Rockwell" w:hAnsi="Rockwell"/>
          <w:sz w:val="32"/>
          <w:szCs w:val="32"/>
        </w:rPr>
      </w:pPr>
      <w:r>
        <w:rPr>
          <w:rFonts w:ascii="Rockwell" w:hAnsi="Rockwell"/>
          <w:sz w:val="32"/>
          <w:szCs w:val="32"/>
        </w:rPr>
        <w:t>§1 Les personnes publiques</w:t>
      </w:r>
      <w:r w:rsidR="0060080A">
        <w:rPr>
          <w:rFonts w:ascii="Rockwell" w:hAnsi="Rockwell"/>
          <w:sz w:val="32"/>
          <w:szCs w:val="32"/>
        </w:rPr>
        <w:t xml:space="preserve"> : </w:t>
      </w:r>
    </w:p>
    <w:p w14:paraId="221BA55C" w14:textId="4ABE5E9C" w:rsidR="00620FF7" w:rsidRPr="00620FF7" w:rsidRDefault="0060080A" w:rsidP="00620FF7">
      <w:pPr>
        <w:jc w:val="both"/>
        <w:rPr>
          <w:rFonts w:ascii="Rockwell" w:eastAsia="Times New Roman" w:hAnsi="Rockwell" w:cs="Times New Roman"/>
          <w:sz w:val="32"/>
          <w:szCs w:val="32"/>
          <w:lang w:eastAsia="fr-FR"/>
        </w:rPr>
      </w:pPr>
      <w:r>
        <w:rPr>
          <w:rFonts w:ascii="Rockwell" w:hAnsi="Rockwell"/>
          <w:sz w:val="32"/>
          <w:szCs w:val="32"/>
        </w:rPr>
        <w:t>L’article 206-1 du CGI exclut les personnes publiques</w:t>
      </w:r>
      <w:r w:rsidR="003253BC">
        <w:rPr>
          <w:rFonts w:ascii="Rockwell" w:hAnsi="Rockwell"/>
          <w:sz w:val="32"/>
          <w:szCs w:val="32"/>
        </w:rPr>
        <w:t xml:space="preserve"> sauf quand elles exercent une activité ressemblant à celle d’une entreprise comme par exemple toutes les activités industrielles ou commerciales dotées ou non de l’autonomie financière. Il peut s’agit de</w:t>
      </w:r>
      <w:r w:rsidR="007A54CA">
        <w:rPr>
          <w:rFonts w:ascii="Rockwell" w:hAnsi="Rockwell"/>
          <w:sz w:val="32"/>
          <w:szCs w:val="32"/>
        </w:rPr>
        <w:t xml:space="preserve"> toute activité lucrative de quelque nature que ce soit. En revanche </w:t>
      </w:r>
      <w:r w:rsidR="007A54CA" w:rsidRPr="00620FF7">
        <w:rPr>
          <w:rFonts w:ascii="Rockwell" w:hAnsi="Rockwell"/>
          <w:sz w:val="32"/>
          <w:szCs w:val="32"/>
        </w:rPr>
        <w:t>le CGI art 207-1-6° fixe des exonérations pour</w:t>
      </w:r>
      <w:r w:rsidR="00620FF7">
        <w:rPr>
          <w:rFonts w:ascii="Rockwell" w:hAnsi="Rockwell"/>
          <w:sz w:val="32"/>
          <w:szCs w:val="32"/>
        </w:rPr>
        <w:t> </w:t>
      </w:r>
      <w:r w:rsidR="00620FF7">
        <w:rPr>
          <w:rFonts w:ascii="Rockwell" w:eastAsia="Times New Roman" w:hAnsi="Rockwell" w:cs="Arial"/>
          <w:color w:val="000000"/>
          <w:sz w:val="32"/>
          <w:szCs w:val="32"/>
          <w:shd w:val="clear" w:color="auto" w:fill="FFFFFF"/>
          <w:lang w:eastAsia="fr-FR"/>
        </w:rPr>
        <w:t>:</w:t>
      </w:r>
      <w:r w:rsidR="00620FF7" w:rsidRPr="00620FF7">
        <w:rPr>
          <w:rFonts w:ascii="Rockwell" w:eastAsia="Times New Roman" w:hAnsi="Rockwell" w:cs="Arial"/>
          <w:color w:val="000000"/>
          <w:sz w:val="32"/>
          <w:szCs w:val="32"/>
          <w:shd w:val="clear" w:color="auto" w:fill="FFFFFF"/>
          <w:lang w:eastAsia="fr-FR"/>
        </w:rPr>
        <w:t xml:space="preserve"> Les régions et les ententes interrégionales, les départements et les ententes interdépartementales, les communes, les établissements publics de coopération intercommunale à fiscalité propre, syndicats de communes et syndicats mixtes constitués exclusivement de collectivités territoriales ou de groupements de ces collectivités ainsi que l</w:t>
      </w:r>
      <w:r w:rsidR="00310BDC">
        <w:rPr>
          <w:rFonts w:ascii="Rockwell" w:eastAsia="Times New Roman" w:hAnsi="Rockwell" w:cs="Arial"/>
          <w:color w:val="000000"/>
          <w:sz w:val="32"/>
          <w:szCs w:val="32"/>
          <w:shd w:val="clear" w:color="auto" w:fill="FFFFFF"/>
          <w:lang w:eastAsia="fr-FR"/>
        </w:rPr>
        <w:t>eurs régies de services publics.</w:t>
      </w:r>
    </w:p>
    <w:p w14:paraId="778BB229" w14:textId="3F8D954C" w:rsidR="0060080A" w:rsidRDefault="0060080A" w:rsidP="00CC63CC">
      <w:pPr>
        <w:jc w:val="both"/>
        <w:rPr>
          <w:rFonts w:ascii="Rockwell" w:hAnsi="Rockwell"/>
          <w:sz w:val="32"/>
          <w:szCs w:val="32"/>
        </w:rPr>
      </w:pPr>
    </w:p>
    <w:p w14:paraId="23476C0D" w14:textId="214A28A1" w:rsidR="006501E6" w:rsidRDefault="006501E6" w:rsidP="00CC63CC">
      <w:pPr>
        <w:jc w:val="both"/>
        <w:rPr>
          <w:rFonts w:ascii="Rockwell" w:hAnsi="Rockwell"/>
          <w:sz w:val="32"/>
          <w:szCs w:val="32"/>
        </w:rPr>
      </w:pPr>
      <w:r>
        <w:rPr>
          <w:rFonts w:ascii="Rockwell" w:hAnsi="Rockwell"/>
          <w:sz w:val="32"/>
          <w:szCs w:val="32"/>
        </w:rPr>
        <w:t>§2 Les organismes dépourvus de but lucratif</w:t>
      </w:r>
    </w:p>
    <w:p w14:paraId="523317D0" w14:textId="5417315C" w:rsidR="00DC1C96" w:rsidRDefault="000B7CD6" w:rsidP="00CC63CC">
      <w:pPr>
        <w:jc w:val="both"/>
        <w:rPr>
          <w:rFonts w:ascii="Rockwell" w:hAnsi="Rockwell"/>
          <w:sz w:val="32"/>
          <w:szCs w:val="32"/>
        </w:rPr>
      </w:pPr>
      <w:r>
        <w:rPr>
          <w:rFonts w:ascii="Rockwell" w:hAnsi="Rockwell"/>
          <w:sz w:val="32"/>
          <w:szCs w:val="32"/>
        </w:rPr>
        <w:t xml:space="preserve">L’article 207 exclut expressément les </w:t>
      </w:r>
      <w:r w:rsidR="002A01E2">
        <w:rPr>
          <w:rFonts w:ascii="Rockwell" w:hAnsi="Rockwell"/>
          <w:sz w:val="32"/>
          <w:szCs w:val="32"/>
        </w:rPr>
        <w:t>syndicats professionnels (1-bis), les sociétés coopératives agricoles d’approvisionnement et d’achats (2), les organismes de HLM (4), les associations loi 1901 sans but lucratif</w:t>
      </w:r>
      <w:r w:rsidR="00355EF6">
        <w:rPr>
          <w:rStyle w:val="Appelnotedebasdep"/>
          <w:rFonts w:ascii="Rockwell" w:hAnsi="Rockwell"/>
          <w:sz w:val="32"/>
          <w:szCs w:val="32"/>
        </w:rPr>
        <w:footnoteReference w:id="1"/>
      </w:r>
      <w:r w:rsidR="002A01E2">
        <w:rPr>
          <w:rFonts w:ascii="Rockwell" w:hAnsi="Rockwell"/>
          <w:sz w:val="32"/>
          <w:szCs w:val="32"/>
        </w:rPr>
        <w:t xml:space="preserve"> (5), les établissements publics et SEM chargées par convention d’opérations d’</w:t>
      </w:r>
      <w:r w:rsidR="00E85B77">
        <w:rPr>
          <w:rFonts w:ascii="Rockwell" w:hAnsi="Rockwell"/>
          <w:sz w:val="32"/>
          <w:szCs w:val="32"/>
        </w:rPr>
        <w:t xml:space="preserve">aménagement (6-bis), les établissements </w:t>
      </w:r>
      <w:r w:rsidR="00E85B77">
        <w:rPr>
          <w:rFonts w:ascii="Rockwell" w:hAnsi="Rockwell"/>
          <w:sz w:val="32"/>
          <w:szCs w:val="32"/>
        </w:rPr>
        <w:lastRenderedPageBreak/>
        <w:t>publics de recherche et d’enseignement supérieur (9) et le</w:t>
      </w:r>
      <w:r w:rsidR="00C35D85">
        <w:rPr>
          <w:rFonts w:ascii="Rockwell" w:hAnsi="Rockwell"/>
          <w:sz w:val="32"/>
          <w:szCs w:val="32"/>
        </w:rPr>
        <w:t>s</w:t>
      </w:r>
      <w:r w:rsidR="00E85B77">
        <w:rPr>
          <w:rFonts w:ascii="Rockwell" w:hAnsi="Rockwell"/>
          <w:sz w:val="32"/>
          <w:szCs w:val="32"/>
        </w:rPr>
        <w:t xml:space="preserve"> fondations reconnues d’utilité publique (11). C’est un inventaire à la Prévert aussi, faut-il se reporter d’abord au CGI </w:t>
      </w:r>
      <w:r w:rsidR="00C35D85">
        <w:rPr>
          <w:rFonts w:ascii="Rockwell" w:hAnsi="Rockwell"/>
          <w:sz w:val="32"/>
          <w:szCs w:val="32"/>
        </w:rPr>
        <w:t xml:space="preserve">à l’article 207, </w:t>
      </w:r>
      <w:r w:rsidR="00E85B77">
        <w:rPr>
          <w:rFonts w:ascii="Rockwell" w:hAnsi="Rockwell"/>
          <w:sz w:val="32"/>
          <w:szCs w:val="32"/>
        </w:rPr>
        <w:t xml:space="preserve">mais le précis de fiscalité des entreprises qui sert de guide d’application du </w:t>
      </w:r>
      <w:r w:rsidR="00EA07C7">
        <w:rPr>
          <w:rFonts w:ascii="Rockwell" w:hAnsi="Rockwell"/>
          <w:sz w:val="32"/>
          <w:szCs w:val="32"/>
        </w:rPr>
        <w:t>Droit fiscal donne une méthode qui reprend les acquis fixés par la jurisprudence du CE 1</w:t>
      </w:r>
      <w:r w:rsidR="00EA07C7" w:rsidRPr="00EA07C7">
        <w:rPr>
          <w:rFonts w:ascii="Rockwell" w:hAnsi="Rockwell"/>
          <w:sz w:val="32"/>
          <w:szCs w:val="32"/>
          <w:vertAlign w:val="superscript"/>
        </w:rPr>
        <w:t>er</w:t>
      </w:r>
      <w:r w:rsidR="00EA07C7">
        <w:rPr>
          <w:rFonts w:ascii="Rockwell" w:hAnsi="Rockwell"/>
          <w:sz w:val="32"/>
          <w:szCs w:val="32"/>
        </w:rPr>
        <w:t xml:space="preserve"> octobre 1999, Association jeune France, Req. N° 170289.</w:t>
      </w:r>
      <w:r w:rsidR="002A3461">
        <w:rPr>
          <w:rFonts w:ascii="Rockwell" w:hAnsi="Rockwell"/>
          <w:sz w:val="32"/>
          <w:szCs w:val="32"/>
        </w:rPr>
        <w:t xml:space="preserve"> Il s’agissait de la gestion d’une patinoire</w:t>
      </w:r>
      <w:r w:rsidR="00C105E2">
        <w:rPr>
          <w:rFonts w:ascii="Rockwell" w:hAnsi="Rockwell"/>
          <w:sz w:val="32"/>
          <w:szCs w:val="32"/>
        </w:rPr>
        <w:t xml:space="preserve"> par une association </w:t>
      </w:r>
      <w:r w:rsidR="00F603F6">
        <w:rPr>
          <w:rFonts w:ascii="Rockwell" w:hAnsi="Rockwell"/>
          <w:sz w:val="32"/>
          <w:szCs w:val="32"/>
        </w:rPr>
        <w:t xml:space="preserve">reconnue d’utilité publique </w:t>
      </w:r>
      <w:r w:rsidR="00C105E2">
        <w:rPr>
          <w:rFonts w:ascii="Rockwell" w:hAnsi="Rockwell"/>
          <w:sz w:val="32"/>
          <w:szCs w:val="32"/>
        </w:rPr>
        <w:t>subventionnée par la ville de Cholet</w:t>
      </w:r>
      <w:r w:rsidR="00355EF6">
        <w:rPr>
          <w:rFonts w:ascii="Rockwell" w:hAnsi="Rockwell"/>
          <w:sz w:val="32"/>
          <w:szCs w:val="32"/>
        </w:rPr>
        <w:t xml:space="preserve"> (Maine &amp; Loire)</w:t>
      </w:r>
      <w:r w:rsidR="00C105E2">
        <w:rPr>
          <w:rFonts w:ascii="Rockwell" w:hAnsi="Rockwell"/>
          <w:sz w:val="32"/>
          <w:szCs w:val="32"/>
        </w:rPr>
        <w:t>. Les usagers de la patinoire étaient non seulement les adhérents de l’association mais également les tiers. L’</w:t>
      </w:r>
      <w:r w:rsidR="000B0A28">
        <w:rPr>
          <w:rFonts w:ascii="Rockwell" w:hAnsi="Rockwell"/>
          <w:sz w:val="32"/>
          <w:szCs w:val="32"/>
        </w:rPr>
        <w:t>affaire avait été tranch</w:t>
      </w:r>
      <w:r w:rsidR="00C105E2">
        <w:rPr>
          <w:rFonts w:ascii="Rockwell" w:hAnsi="Rockwell"/>
          <w:sz w:val="32"/>
          <w:szCs w:val="32"/>
        </w:rPr>
        <w:t xml:space="preserve">ée par la CAA de Nantes qui avait jugé que l’association devait être taxée </w:t>
      </w:r>
      <w:r w:rsidR="00C35D85">
        <w:rPr>
          <w:rFonts w:ascii="Rockwell" w:hAnsi="Rockwell"/>
          <w:sz w:val="32"/>
          <w:szCs w:val="32"/>
        </w:rPr>
        <w:t xml:space="preserve">comme une entreprise dans la mesure où elle avait une activité lucrative. </w:t>
      </w:r>
      <w:r w:rsidR="007334F1">
        <w:rPr>
          <w:rFonts w:ascii="Rockwell" w:hAnsi="Rockwell"/>
          <w:sz w:val="32"/>
          <w:szCs w:val="32"/>
        </w:rPr>
        <w:t xml:space="preserve">La CAA de Nantes s’était contentée de dire que les tarifs n’étaient pas inférieurs à ceux pratiqués par des entreprises analogues sans rechercher à savoir s’il y avait des patinoires dans le secteur géographique. </w:t>
      </w:r>
      <w:r w:rsidR="00C35D85">
        <w:rPr>
          <w:rFonts w:ascii="Rockwell" w:hAnsi="Rockwell"/>
          <w:sz w:val="32"/>
          <w:szCs w:val="32"/>
        </w:rPr>
        <w:t>Pourtant le CE va casser l’arrêt de la CAA de Nantes pour erreur de droit en considérant qu</w:t>
      </w:r>
      <w:r w:rsidR="000B0A28">
        <w:rPr>
          <w:rFonts w:ascii="Rockwell" w:hAnsi="Rockwell"/>
          <w:sz w:val="32"/>
          <w:szCs w:val="32"/>
        </w:rPr>
        <w:t>e la CAA</w:t>
      </w:r>
      <w:r w:rsidR="00C35D85">
        <w:rPr>
          <w:rFonts w:ascii="Rockwell" w:hAnsi="Rockwell"/>
          <w:sz w:val="32"/>
          <w:szCs w:val="32"/>
        </w:rPr>
        <w:t xml:space="preserve"> n’avait pas cherché à savoir si cette association </w:t>
      </w:r>
      <w:r w:rsidR="00C35D85" w:rsidRPr="000B0A28">
        <w:rPr>
          <w:rFonts w:ascii="Rockwell" w:hAnsi="Rockwell"/>
          <w:sz w:val="32"/>
          <w:szCs w:val="32"/>
          <w:u w:val="single"/>
        </w:rPr>
        <w:t>concurrençait des équipements analogues</w:t>
      </w:r>
      <w:r w:rsidR="00C35D85">
        <w:rPr>
          <w:rFonts w:ascii="Rockwell" w:hAnsi="Rockwell"/>
          <w:sz w:val="32"/>
          <w:szCs w:val="32"/>
        </w:rPr>
        <w:t xml:space="preserve"> mis à la disposition des sportifs pratiquant le patinage dans le secteur. Le CE a considéré que la question de savoir si l’activité d’une association était lucrative ou non relevait d’un régime de preuve objective. Dans la mesure où l’association était désintéressée, </w:t>
      </w:r>
      <w:r w:rsidR="00C35D85" w:rsidRPr="000B0A28">
        <w:rPr>
          <w:rFonts w:ascii="Rockwell" w:hAnsi="Rockwell"/>
          <w:sz w:val="32"/>
          <w:szCs w:val="32"/>
          <w:u w:val="single"/>
        </w:rPr>
        <w:t>les services n’entrant pas en concurrence avec des équipements semblables dans une même zone géographique</w:t>
      </w:r>
      <w:r w:rsidR="00C35D85">
        <w:rPr>
          <w:rFonts w:ascii="Rockwell" w:hAnsi="Rockwell"/>
          <w:sz w:val="32"/>
          <w:szCs w:val="32"/>
        </w:rPr>
        <w:t xml:space="preserve">, son activité ne pouvait être assimilée à celle d’une entreprise. On voit bien le raisonnement du juge qui utilise la notion de marché pertinent pour démontrer de manière objective que l’association ne fonctionnait de cette manière que parce que </w:t>
      </w:r>
      <w:r w:rsidR="00C35D85" w:rsidRPr="000B0A28">
        <w:rPr>
          <w:rFonts w:ascii="Rockwell" w:hAnsi="Rockwell"/>
          <w:sz w:val="32"/>
          <w:szCs w:val="32"/>
          <w:u w:val="single"/>
        </w:rPr>
        <w:t xml:space="preserve">rien n’existait </w:t>
      </w:r>
      <w:r w:rsidR="000B0A28" w:rsidRPr="000B0A28">
        <w:rPr>
          <w:rFonts w:ascii="Rockwell" w:hAnsi="Rockwell"/>
          <w:sz w:val="32"/>
          <w:szCs w:val="32"/>
          <w:u w:val="single"/>
        </w:rPr>
        <w:t>dans le secteur</w:t>
      </w:r>
      <w:r w:rsidR="000B0A28">
        <w:rPr>
          <w:rFonts w:ascii="Rockwell" w:hAnsi="Rockwell"/>
          <w:sz w:val="32"/>
          <w:szCs w:val="32"/>
        </w:rPr>
        <w:t xml:space="preserve"> </w:t>
      </w:r>
      <w:r w:rsidR="00C35D85">
        <w:rPr>
          <w:rFonts w:ascii="Rockwell" w:hAnsi="Rockwell"/>
          <w:sz w:val="32"/>
          <w:szCs w:val="32"/>
        </w:rPr>
        <w:t xml:space="preserve">pour permettre aux patineurs de pratiquer leur sport favori. </w:t>
      </w:r>
    </w:p>
    <w:p w14:paraId="24F71366" w14:textId="77777777" w:rsidR="00355E62" w:rsidRDefault="00355E62" w:rsidP="00CC63CC">
      <w:pPr>
        <w:jc w:val="both"/>
        <w:rPr>
          <w:rFonts w:ascii="Rockwell" w:hAnsi="Rockwell"/>
          <w:sz w:val="32"/>
          <w:szCs w:val="32"/>
        </w:rPr>
      </w:pPr>
    </w:p>
    <w:p w14:paraId="7CCCD9FD" w14:textId="6AEAD0F1" w:rsidR="00355E62" w:rsidRPr="00355E62" w:rsidRDefault="00355E62" w:rsidP="00355E62">
      <w:pPr>
        <w:jc w:val="both"/>
        <w:rPr>
          <w:rFonts w:ascii="Rockwell" w:eastAsia="Times New Roman" w:hAnsi="Rockwell" w:cs="Times New Roman"/>
          <w:sz w:val="32"/>
          <w:szCs w:val="32"/>
          <w:lang w:eastAsia="fr-FR"/>
        </w:rPr>
      </w:pPr>
      <w:r w:rsidRPr="00355E62">
        <w:rPr>
          <w:rFonts w:ascii="Rockwell" w:hAnsi="Rockwell"/>
          <w:sz w:val="32"/>
          <w:szCs w:val="32"/>
        </w:rPr>
        <w:t>Voici le considérant de principe : «</w:t>
      </w:r>
      <w:r w:rsidRPr="00355E62">
        <w:rPr>
          <w:rFonts w:ascii="Rockwell" w:eastAsia="Times New Roman" w:hAnsi="Rockwell" w:cs="Arial"/>
          <w:i/>
          <w:color w:val="000000"/>
          <w:sz w:val="32"/>
          <w:szCs w:val="32"/>
          <w:shd w:val="clear" w:color="auto" w:fill="FFFFFF"/>
          <w:lang w:eastAsia="fr-FR"/>
        </w:rPr>
        <w:t xml:space="preserve">Considérant qu'il résulte de ces dispositions que les associations qui poursuivent un objet social ou philanthropique, sont </w:t>
      </w:r>
      <w:r w:rsidRPr="00355E62">
        <w:rPr>
          <w:rFonts w:ascii="Rockwell" w:eastAsia="Times New Roman" w:hAnsi="Rockwell" w:cs="Arial"/>
          <w:i/>
          <w:color w:val="000000"/>
          <w:sz w:val="32"/>
          <w:szCs w:val="32"/>
          <w:u w:val="single"/>
          <w:shd w:val="clear" w:color="auto" w:fill="FFFFFF"/>
          <w:lang w:eastAsia="fr-FR"/>
        </w:rPr>
        <w:t>exonérées de la taxe sur la valeur ajoutée</w:t>
      </w:r>
      <w:r w:rsidRPr="00355E62">
        <w:rPr>
          <w:rFonts w:ascii="Rockwell" w:eastAsia="Times New Roman" w:hAnsi="Rockwell" w:cs="Arial"/>
          <w:i/>
          <w:color w:val="000000"/>
          <w:sz w:val="32"/>
          <w:szCs w:val="32"/>
          <w:shd w:val="clear" w:color="auto" w:fill="FFFFFF"/>
          <w:lang w:eastAsia="fr-FR"/>
        </w:rPr>
        <w:t xml:space="preserve"> dès lors, d'une part, que </w:t>
      </w:r>
      <w:r w:rsidRPr="00355E62">
        <w:rPr>
          <w:rFonts w:ascii="Rockwell" w:eastAsia="Times New Roman" w:hAnsi="Rockwell" w:cs="Arial"/>
          <w:i/>
          <w:color w:val="000000"/>
          <w:sz w:val="32"/>
          <w:szCs w:val="32"/>
          <w:u w:val="single"/>
          <w:shd w:val="clear" w:color="auto" w:fill="FFFFFF"/>
          <w:lang w:eastAsia="fr-FR"/>
        </w:rPr>
        <w:t>leur gestion présente un caractère désintéressé</w:t>
      </w:r>
      <w:r w:rsidRPr="00355E62">
        <w:rPr>
          <w:rFonts w:ascii="Rockwell" w:eastAsia="Times New Roman" w:hAnsi="Rockwell" w:cs="Arial"/>
          <w:i/>
          <w:color w:val="000000"/>
          <w:sz w:val="32"/>
          <w:szCs w:val="32"/>
          <w:shd w:val="clear" w:color="auto" w:fill="FFFFFF"/>
          <w:lang w:eastAsia="fr-FR"/>
        </w:rPr>
        <w:t xml:space="preserve">, et, d'autre part, que </w:t>
      </w:r>
      <w:r w:rsidRPr="00355E62">
        <w:rPr>
          <w:rFonts w:ascii="Rockwell" w:eastAsia="Times New Roman" w:hAnsi="Rockwell" w:cs="Arial"/>
          <w:i/>
          <w:color w:val="000000"/>
          <w:sz w:val="32"/>
          <w:szCs w:val="32"/>
          <w:u w:val="single"/>
          <w:shd w:val="clear" w:color="auto" w:fill="FFFFFF"/>
          <w:lang w:eastAsia="fr-FR"/>
        </w:rPr>
        <w:t>les services qu'elles rendent ne sont pas offerts en concurrence dans la même zone géographique d'attraction</w:t>
      </w:r>
      <w:r w:rsidRPr="00355E62">
        <w:rPr>
          <w:rFonts w:ascii="Rockwell" w:eastAsia="Times New Roman" w:hAnsi="Rockwell" w:cs="Arial"/>
          <w:i/>
          <w:color w:val="000000"/>
          <w:sz w:val="32"/>
          <w:szCs w:val="32"/>
          <w:shd w:val="clear" w:color="auto" w:fill="FFFFFF"/>
          <w:lang w:eastAsia="fr-FR"/>
        </w:rPr>
        <w:t xml:space="preserve"> avec ceux proposés au même public par des entreprises commerciales exerçant une activité identique ; que, toutefois, même dans le cas où l'association </w:t>
      </w:r>
      <w:r w:rsidRPr="00355E62">
        <w:rPr>
          <w:rFonts w:ascii="Rockwell" w:eastAsia="Times New Roman" w:hAnsi="Rockwell" w:cs="Arial"/>
          <w:i/>
          <w:color w:val="000000"/>
          <w:sz w:val="32"/>
          <w:szCs w:val="32"/>
          <w:shd w:val="clear" w:color="auto" w:fill="FFFFFF"/>
          <w:lang w:eastAsia="fr-FR"/>
        </w:rPr>
        <w:lastRenderedPageBreak/>
        <w:t xml:space="preserve">intervient dans un domaine d'activité et dans un secteur géographique où existent des entreprises commerciales, l'exonération de taxe sur la valeur ajoutée lui est acquise </w:t>
      </w:r>
      <w:r w:rsidRPr="0096240E">
        <w:rPr>
          <w:rFonts w:ascii="Rockwell" w:eastAsia="Times New Roman" w:hAnsi="Rockwell" w:cs="Arial"/>
          <w:i/>
          <w:color w:val="000000"/>
          <w:sz w:val="32"/>
          <w:szCs w:val="32"/>
          <w:u w:val="single"/>
          <w:shd w:val="clear" w:color="auto" w:fill="FFFFFF"/>
          <w:lang w:eastAsia="fr-FR"/>
        </w:rPr>
        <w:t>si elle exerce son activité dans des conditions différentes de celles des entreprises commerciales</w:t>
      </w:r>
      <w:r w:rsidRPr="00355E62">
        <w:rPr>
          <w:rFonts w:ascii="Rockwell" w:eastAsia="Times New Roman" w:hAnsi="Rockwell" w:cs="Arial"/>
          <w:i/>
          <w:color w:val="000000"/>
          <w:sz w:val="32"/>
          <w:szCs w:val="32"/>
          <w:shd w:val="clear" w:color="auto" w:fill="FFFFFF"/>
          <w:lang w:eastAsia="fr-FR"/>
        </w:rPr>
        <w:t xml:space="preserve">, soit en répondant à certains besoins insuffisamment satisfaits par le marché, soit en s'adressant à un public qui ne peut normalement accéder aux services offerts par les entreprises commerciales, notamment en </w:t>
      </w:r>
      <w:r w:rsidRPr="0096240E">
        <w:rPr>
          <w:rFonts w:ascii="Rockwell" w:eastAsia="Times New Roman" w:hAnsi="Rockwell" w:cs="Arial"/>
          <w:i/>
          <w:color w:val="000000"/>
          <w:sz w:val="32"/>
          <w:szCs w:val="32"/>
          <w:u w:val="single"/>
          <w:shd w:val="clear" w:color="auto" w:fill="FFFFFF"/>
          <w:lang w:eastAsia="fr-FR"/>
        </w:rPr>
        <w:t>pratiquant des prix inférieurs à ceux du secteur concurrentiel</w:t>
      </w:r>
      <w:r w:rsidRPr="00355E62">
        <w:rPr>
          <w:rFonts w:ascii="Rockwell" w:eastAsia="Times New Roman" w:hAnsi="Rockwell" w:cs="Arial"/>
          <w:i/>
          <w:color w:val="000000"/>
          <w:sz w:val="32"/>
          <w:szCs w:val="32"/>
          <w:shd w:val="clear" w:color="auto" w:fill="FFFFFF"/>
          <w:lang w:eastAsia="fr-FR"/>
        </w:rPr>
        <w:t xml:space="preserve"> et à tout le moins des tarifs modulés en fonction de la situation des bénéficiaires, sous réserve de ne pas recourir à des méthodes commerciales excédant les besoins de l'information du public sur les services qu'elle offre ;</w:t>
      </w:r>
      <w:r w:rsidRPr="00355E62">
        <w:rPr>
          <w:rFonts w:ascii="Rockwell" w:eastAsia="Times New Roman" w:hAnsi="Rockwell" w:cs="Arial"/>
          <w:color w:val="000000"/>
          <w:sz w:val="32"/>
          <w:szCs w:val="32"/>
          <w:shd w:val="clear" w:color="auto" w:fill="FFFFFF"/>
          <w:lang w:eastAsia="fr-FR"/>
        </w:rPr>
        <w:t> »</w:t>
      </w:r>
    </w:p>
    <w:p w14:paraId="35AFF3F1" w14:textId="2448FF5F" w:rsidR="00355E62" w:rsidRDefault="00355E62" w:rsidP="00CC63CC">
      <w:pPr>
        <w:jc w:val="both"/>
        <w:rPr>
          <w:rFonts w:ascii="Rockwell" w:hAnsi="Rockwell"/>
          <w:sz w:val="32"/>
          <w:szCs w:val="32"/>
        </w:rPr>
      </w:pPr>
    </w:p>
    <w:p w14:paraId="19BEE720" w14:textId="75A9F575" w:rsidR="00DB6D37" w:rsidRDefault="0096240E" w:rsidP="00CC63CC">
      <w:pPr>
        <w:jc w:val="both"/>
        <w:rPr>
          <w:rFonts w:ascii="Rockwell" w:hAnsi="Rockwell"/>
          <w:sz w:val="32"/>
          <w:szCs w:val="32"/>
        </w:rPr>
      </w:pPr>
      <w:r>
        <w:rPr>
          <w:rFonts w:ascii="Rockwell" w:hAnsi="Rockwell"/>
          <w:sz w:val="32"/>
          <w:szCs w:val="32"/>
        </w:rPr>
        <w:t>Voici maintenant ce que dit le pré</w:t>
      </w:r>
      <w:r w:rsidR="00E06DD9">
        <w:rPr>
          <w:rFonts w:ascii="Rockwell" w:hAnsi="Rockwell"/>
          <w:sz w:val="32"/>
          <w:szCs w:val="32"/>
        </w:rPr>
        <w:t>cis de fiscalité</w:t>
      </w:r>
      <w:r w:rsidR="007334F1">
        <w:rPr>
          <w:rFonts w:ascii="Rockwell" w:hAnsi="Rockwell"/>
          <w:sz w:val="32"/>
          <w:szCs w:val="32"/>
        </w:rPr>
        <w:t xml:space="preserve"> qui récapitule avec précision les conditions</w:t>
      </w:r>
      <w:r>
        <w:rPr>
          <w:rFonts w:ascii="Rockwell" w:hAnsi="Rockwell"/>
          <w:sz w:val="32"/>
          <w:szCs w:val="32"/>
        </w:rPr>
        <w:t> :</w:t>
      </w:r>
    </w:p>
    <w:p w14:paraId="48A02B3C" w14:textId="24347089" w:rsidR="005866A3" w:rsidRDefault="005866A3" w:rsidP="005866A3">
      <w:pPr>
        <w:pStyle w:val="Normalweb"/>
        <w:spacing w:before="210" w:beforeAutospacing="0" w:after="210" w:afterAutospacing="0"/>
        <w:jc w:val="both"/>
        <w:rPr>
          <w:rFonts w:ascii="Verdana" w:hAnsi="Verdana"/>
          <w:color w:val="1A1A1A"/>
        </w:rPr>
      </w:pPr>
      <w:r>
        <w:rPr>
          <w:rFonts w:ascii="Verdana" w:hAnsi="Verdana"/>
          <w:color w:val="1A1A1A"/>
        </w:rPr>
        <w:t>Pour apprécier si un organisme peut ne pas être soumis aux impôts commerciaux (</w:t>
      </w:r>
      <w:r w:rsidRPr="00EA07C7">
        <w:rPr>
          <w:rFonts w:ascii="Verdana" w:hAnsi="Verdana"/>
          <w:color w:val="1A1A1A"/>
          <w:u w:val="single"/>
        </w:rPr>
        <w:t>impôt sur les sociétés, TVA, cotisation foncière des entreprises</w:t>
      </w:r>
      <w:r>
        <w:rPr>
          <w:rFonts w:ascii="Verdana" w:hAnsi="Verdana"/>
          <w:color w:val="1A1A1A"/>
        </w:rPr>
        <w:t>), il convient de procéder à l'analyse suivante conduite en trois étapes :</w:t>
      </w:r>
    </w:p>
    <w:p w14:paraId="43A78A31" w14:textId="77777777" w:rsidR="005866A3" w:rsidRDefault="005866A3" w:rsidP="005866A3">
      <w:pPr>
        <w:pStyle w:val="Normalweb"/>
        <w:spacing w:before="210" w:beforeAutospacing="0" w:after="210" w:afterAutospacing="0"/>
        <w:jc w:val="both"/>
        <w:rPr>
          <w:rFonts w:ascii="Verdana" w:hAnsi="Verdana"/>
          <w:color w:val="1A1A1A"/>
        </w:rPr>
      </w:pPr>
      <w:r>
        <w:rPr>
          <w:rFonts w:ascii="Verdana" w:hAnsi="Verdana"/>
          <w:b/>
          <w:bCs/>
          <w:color w:val="1A1A1A"/>
        </w:rPr>
        <w:t>1</w:t>
      </w:r>
      <w:r>
        <w:rPr>
          <w:rFonts w:ascii="Verdana" w:hAnsi="Verdana"/>
          <w:b/>
          <w:bCs/>
          <w:color w:val="1A1A1A"/>
          <w:sz w:val="18"/>
          <w:szCs w:val="18"/>
          <w:vertAlign w:val="superscript"/>
        </w:rPr>
        <w:t>ère</w:t>
      </w:r>
      <w:r>
        <w:rPr>
          <w:rFonts w:ascii="Verdana" w:hAnsi="Verdana"/>
          <w:b/>
          <w:bCs/>
          <w:color w:val="1A1A1A"/>
        </w:rPr>
        <w:t> étape :</w:t>
      </w:r>
      <w:r>
        <w:rPr>
          <w:rFonts w:ascii="Verdana" w:hAnsi="Verdana"/>
          <w:color w:val="1A1A1A"/>
        </w:rPr>
        <w:t> Examiner si la gestion de l'organisme est intéressée ou désintéressée (cf. n° </w:t>
      </w:r>
      <w:r>
        <w:rPr>
          <w:rFonts w:ascii="Verdana" w:hAnsi="Verdana"/>
          <w:b/>
          <w:bCs/>
          <w:color w:val="1A1A1A"/>
        </w:rPr>
        <w:t>3706-1</w:t>
      </w:r>
      <w:r>
        <w:rPr>
          <w:rFonts w:ascii="Verdana" w:hAnsi="Verdana"/>
          <w:color w:val="1A1A1A"/>
        </w:rPr>
        <w:t>) ;</w:t>
      </w:r>
    </w:p>
    <w:p w14:paraId="0D6D5B23" w14:textId="77777777" w:rsidR="005866A3" w:rsidRDefault="005866A3" w:rsidP="005866A3">
      <w:pPr>
        <w:pStyle w:val="Normalweb"/>
        <w:spacing w:before="210" w:beforeAutospacing="0" w:after="210" w:afterAutospacing="0"/>
        <w:jc w:val="both"/>
        <w:rPr>
          <w:rFonts w:ascii="Verdana" w:hAnsi="Verdana"/>
          <w:color w:val="1A1A1A"/>
        </w:rPr>
      </w:pPr>
      <w:r>
        <w:rPr>
          <w:rFonts w:ascii="Verdana" w:hAnsi="Verdana"/>
          <w:color w:val="1A1A1A"/>
        </w:rPr>
        <w:t>Si la gestion est intéressée, l'organisme est nécessairement soumis aux impôts commerciaux. Dans le cas contraire, il convient de passer à l'étape suivante.</w:t>
      </w:r>
    </w:p>
    <w:p w14:paraId="374DFF51" w14:textId="77777777" w:rsidR="005866A3" w:rsidRDefault="005866A3" w:rsidP="005866A3">
      <w:pPr>
        <w:pStyle w:val="Normalweb"/>
        <w:spacing w:before="210" w:beforeAutospacing="0" w:after="210" w:afterAutospacing="0"/>
        <w:jc w:val="both"/>
        <w:rPr>
          <w:rFonts w:ascii="Verdana" w:hAnsi="Verdana"/>
          <w:color w:val="1A1A1A"/>
        </w:rPr>
      </w:pPr>
      <w:r>
        <w:rPr>
          <w:rFonts w:ascii="Verdana" w:hAnsi="Verdana"/>
          <w:b/>
          <w:bCs/>
          <w:color w:val="1A1A1A"/>
        </w:rPr>
        <w:t>2</w:t>
      </w:r>
      <w:r>
        <w:rPr>
          <w:rFonts w:ascii="Verdana" w:hAnsi="Verdana"/>
          <w:b/>
          <w:bCs/>
          <w:color w:val="1A1A1A"/>
          <w:sz w:val="18"/>
          <w:szCs w:val="18"/>
          <w:vertAlign w:val="superscript"/>
        </w:rPr>
        <w:t>ème</w:t>
      </w:r>
      <w:r>
        <w:rPr>
          <w:rFonts w:ascii="Verdana" w:hAnsi="Verdana"/>
          <w:b/>
          <w:bCs/>
          <w:color w:val="1A1A1A"/>
        </w:rPr>
        <w:t> étape :</w:t>
      </w:r>
      <w:r>
        <w:rPr>
          <w:rFonts w:ascii="Verdana" w:hAnsi="Verdana"/>
          <w:color w:val="1A1A1A"/>
        </w:rPr>
        <w:t> Examiner si l'organisme concurrence ou non le secteur commercial ;</w:t>
      </w:r>
    </w:p>
    <w:p w14:paraId="4648A9B5" w14:textId="77777777" w:rsidR="005866A3" w:rsidRDefault="005866A3" w:rsidP="005866A3">
      <w:pPr>
        <w:pStyle w:val="Normalweb"/>
        <w:spacing w:before="210" w:beforeAutospacing="0" w:after="210" w:afterAutospacing="0"/>
        <w:jc w:val="both"/>
        <w:rPr>
          <w:rFonts w:ascii="Verdana" w:hAnsi="Verdana"/>
          <w:color w:val="1A1A1A"/>
        </w:rPr>
      </w:pPr>
      <w:r>
        <w:rPr>
          <w:rFonts w:ascii="Verdana" w:hAnsi="Verdana"/>
          <w:color w:val="1A1A1A"/>
        </w:rPr>
        <w:t xml:space="preserve">S'il ne concurrence pas le secteur commercial, </w:t>
      </w:r>
      <w:r w:rsidRPr="00EA07C7">
        <w:rPr>
          <w:rFonts w:ascii="Verdana" w:hAnsi="Verdana"/>
          <w:color w:val="1A1A1A"/>
          <w:u w:val="single"/>
        </w:rPr>
        <w:t>l'organisme n'est pas imposable</w:t>
      </w:r>
      <w:r>
        <w:rPr>
          <w:rFonts w:ascii="Verdana" w:hAnsi="Verdana"/>
          <w:color w:val="1A1A1A"/>
        </w:rPr>
        <w:t>. Si l'activité de l'organisme est exercée en concurrence avec une entreprise du secteur lucratif, il convient d'examiner si cette activité est exercée dans des conditions similaires à celles des entreprises du secteur lucratif.</w:t>
      </w:r>
    </w:p>
    <w:p w14:paraId="6CA35214" w14:textId="77777777" w:rsidR="005866A3" w:rsidRDefault="005866A3" w:rsidP="005866A3">
      <w:pPr>
        <w:pStyle w:val="Normalweb"/>
        <w:spacing w:before="210" w:beforeAutospacing="0" w:after="210" w:afterAutospacing="0"/>
        <w:jc w:val="both"/>
        <w:rPr>
          <w:rFonts w:ascii="Verdana" w:hAnsi="Verdana"/>
          <w:color w:val="1A1A1A"/>
        </w:rPr>
      </w:pPr>
      <w:r>
        <w:rPr>
          <w:rFonts w:ascii="Verdana" w:hAnsi="Verdana"/>
          <w:b/>
          <w:bCs/>
          <w:color w:val="1A1A1A"/>
        </w:rPr>
        <w:t>3</w:t>
      </w:r>
      <w:r>
        <w:rPr>
          <w:rFonts w:ascii="Verdana" w:hAnsi="Verdana"/>
          <w:b/>
          <w:bCs/>
          <w:color w:val="1A1A1A"/>
          <w:sz w:val="18"/>
          <w:szCs w:val="18"/>
          <w:vertAlign w:val="superscript"/>
        </w:rPr>
        <w:t>ème</w:t>
      </w:r>
      <w:r>
        <w:rPr>
          <w:rFonts w:ascii="Verdana" w:hAnsi="Verdana"/>
          <w:b/>
          <w:bCs/>
          <w:color w:val="1A1A1A"/>
        </w:rPr>
        <w:t> étape :</w:t>
      </w:r>
      <w:r>
        <w:rPr>
          <w:rFonts w:ascii="Verdana" w:hAnsi="Verdana"/>
          <w:color w:val="1A1A1A"/>
        </w:rPr>
        <w:t> Examiner les conditions d'exercice de l'activité</w:t>
      </w:r>
    </w:p>
    <w:p w14:paraId="5090B47D" w14:textId="77777777" w:rsidR="005866A3" w:rsidRDefault="005866A3" w:rsidP="005866A3">
      <w:pPr>
        <w:pStyle w:val="Normalweb"/>
        <w:spacing w:before="210" w:beforeAutospacing="0" w:after="210" w:afterAutospacing="0"/>
        <w:jc w:val="both"/>
        <w:rPr>
          <w:rFonts w:ascii="Verdana" w:hAnsi="Verdana"/>
          <w:color w:val="1A1A1A"/>
        </w:rPr>
      </w:pPr>
      <w:r>
        <w:rPr>
          <w:rFonts w:ascii="Verdana" w:hAnsi="Verdana"/>
          <w:color w:val="1A1A1A"/>
        </w:rPr>
        <w:t xml:space="preserve">La comparaison des conditions d'exercice de l'activité s'effectue à l'aide d'un faisceau d'indices. La méthode, dite « des 4 P », consiste en une analyse de quatre critères, classés par ordre d'importance décroissante : le « </w:t>
      </w:r>
      <w:r w:rsidRPr="000B7CD6">
        <w:rPr>
          <w:rFonts w:ascii="Verdana" w:hAnsi="Verdana"/>
          <w:b/>
          <w:color w:val="1A1A1A"/>
        </w:rPr>
        <w:t>Produit</w:t>
      </w:r>
      <w:r>
        <w:rPr>
          <w:rFonts w:ascii="Verdana" w:hAnsi="Verdana"/>
          <w:color w:val="1A1A1A"/>
        </w:rPr>
        <w:t xml:space="preserve"> » proposé par l'organisme, le « </w:t>
      </w:r>
      <w:r w:rsidRPr="000B7CD6">
        <w:rPr>
          <w:rFonts w:ascii="Verdana" w:hAnsi="Verdana"/>
          <w:b/>
          <w:color w:val="1A1A1A"/>
        </w:rPr>
        <w:t>Public</w:t>
      </w:r>
      <w:r>
        <w:rPr>
          <w:rFonts w:ascii="Verdana" w:hAnsi="Verdana"/>
          <w:color w:val="1A1A1A"/>
        </w:rPr>
        <w:t xml:space="preserve"> » visé par l'organisme, le « </w:t>
      </w:r>
      <w:r w:rsidRPr="000B7CD6">
        <w:rPr>
          <w:rFonts w:ascii="Verdana" w:hAnsi="Verdana"/>
          <w:b/>
          <w:color w:val="1A1A1A"/>
        </w:rPr>
        <w:t>Prix</w:t>
      </w:r>
      <w:r>
        <w:rPr>
          <w:rFonts w:ascii="Verdana" w:hAnsi="Verdana"/>
          <w:color w:val="1A1A1A"/>
        </w:rPr>
        <w:t xml:space="preserve"> » pratiqué et les opérations de communication réalisées (« </w:t>
      </w:r>
      <w:r w:rsidRPr="000B7CD6">
        <w:rPr>
          <w:rFonts w:ascii="Verdana" w:hAnsi="Verdana"/>
          <w:b/>
          <w:color w:val="1A1A1A"/>
        </w:rPr>
        <w:t>Publicité</w:t>
      </w:r>
      <w:r>
        <w:rPr>
          <w:rFonts w:ascii="Verdana" w:hAnsi="Verdana"/>
          <w:color w:val="1A1A1A"/>
        </w:rPr>
        <w:t xml:space="preserve"> ») (cf. n° </w:t>
      </w:r>
      <w:hyperlink r:id="rId7" w:history="1">
        <w:r>
          <w:rPr>
            <w:rStyle w:val="Lienhypertexte"/>
            <w:rFonts w:ascii="Verdana" w:hAnsi="Verdana"/>
            <w:color w:val="050582"/>
          </w:rPr>
          <w:t>3707</w:t>
        </w:r>
      </w:hyperlink>
      <w:r>
        <w:rPr>
          <w:rFonts w:ascii="Verdana" w:hAnsi="Verdana"/>
          <w:color w:val="1A1A1A"/>
        </w:rPr>
        <w:t>). Au terme de cette troisième étape, ce n'est que s'il exerce son activité selon des méthodes similaires à celles des entreprises commerciales, que l'organisme sera soumis aux impôts commerciaux de droit commun.</w:t>
      </w:r>
    </w:p>
    <w:p w14:paraId="02072D23" w14:textId="2A10496E" w:rsidR="0096240E" w:rsidRPr="00D16394" w:rsidRDefault="0096240E" w:rsidP="0096240E">
      <w:pPr>
        <w:jc w:val="both"/>
        <w:rPr>
          <w:rFonts w:ascii="Rockwell" w:hAnsi="Rockwell"/>
          <w:b/>
          <w:sz w:val="32"/>
          <w:szCs w:val="32"/>
          <w:u w:val="single"/>
        </w:rPr>
      </w:pPr>
      <w:r>
        <w:rPr>
          <w:rFonts w:ascii="Rockwell" w:hAnsi="Rockwell"/>
          <w:b/>
          <w:sz w:val="32"/>
          <w:szCs w:val="32"/>
          <w:u w:val="single"/>
        </w:rPr>
        <w:t>Section 3</w:t>
      </w:r>
      <w:r w:rsidRPr="00D16394">
        <w:rPr>
          <w:rFonts w:ascii="Rockwell" w:hAnsi="Rockwell"/>
          <w:b/>
          <w:sz w:val="32"/>
          <w:szCs w:val="32"/>
          <w:u w:val="single"/>
        </w:rPr>
        <w:t xml:space="preserve"> : </w:t>
      </w:r>
      <w:r>
        <w:rPr>
          <w:rFonts w:ascii="Rockwell" w:hAnsi="Rockwell"/>
          <w:b/>
          <w:sz w:val="32"/>
          <w:szCs w:val="32"/>
          <w:u w:val="single"/>
        </w:rPr>
        <w:t>Le champ d’application territorial de l’IS :</w:t>
      </w:r>
    </w:p>
    <w:p w14:paraId="2A9FA7B2" w14:textId="0A97011C" w:rsidR="00477FCA" w:rsidRDefault="0096240E" w:rsidP="0096240E">
      <w:pPr>
        <w:jc w:val="both"/>
        <w:rPr>
          <w:rFonts w:ascii="Rockwell" w:hAnsi="Rockwell"/>
          <w:sz w:val="32"/>
          <w:szCs w:val="32"/>
        </w:rPr>
      </w:pPr>
      <w:r>
        <w:rPr>
          <w:rFonts w:ascii="Rockwell" w:hAnsi="Rockwell"/>
          <w:sz w:val="32"/>
          <w:szCs w:val="32"/>
        </w:rPr>
        <w:t>Il importe d’en connaître les grandes lignes car il est totalement différent de celui de l’IR.</w:t>
      </w:r>
    </w:p>
    <w:p w14:paraId="5E125454" w14:textId="003A0D76" w:rsidR="00C30811" w:rsidRPr="00C30811" w:rsidRDefault="00C30811" w:rsidP="00C30811">
      <w:pPr>
        <w:jc w:val="both"/>
        <w:rPr>
          <w:rFonts w:ascii="Rockwell" w:hAnsi="Rockwell"/>
          <w:sz w:val="32"/>
          <w:szCs w:val="32"/>
        </w:rPr>
      </w:pPr>
    </w:p>
    <w:p w14:paraId="79DB903B" w14:textId="77777777" w:rsidR="00A20930" w:rsidRDefault="00C30811" w:rsidP="006A3059">
      <w:pPr>
        <w:jc w:val="both"/>
        <w:rPr>
          <w:rFonts w:ascii="Rockwell" w:eastAsia="Times New Roman" w:hAnsi="Rockwell" w:cs="Times New Roman"/>
          <w:sz w:val="32"/>
          <w:szCs w:val="32"/>
          <w:lang w:eastAsia="fr-FR"/>
        </w:rPr>
      </w:pPr>
      <w:r w:rsidRPr="00C30811">
        <w:rPr>
          <w:rFonts w:ascii="Rockwell" w:eastAsia="Times New Roman" w:hAnsi="Rockwell" w:cs="Times New Roman"/>
          <w:sz w:val="32"/>
          <w:szCs w:val="32"/>
          <w:lang w:eastAsia="fr-FR"/>
        </w:rPr>
        <w:lastRenderedPageBreak/>
        <w:t xml:space="preserve">Contrairement aux règles en vigueur dans l'ensemble des autres pays de l'Union européenne qui appliquent un régime de bénéfice mondial, seuls sont passibles de l'IS </w:t>
      </w:r>
      <w:r w:rsidRPr="00C30811">
        <w:rPr>
          <w:rFonts w:ascii="Rockwell" w:eastAsia="Times New Roman" w:hAnsi="Rockwell" w:cs="Times New Roman"/>
          <w:sz w:val="32"/>
          <w:szCs w:val="32"/>
          <w:u w:val="single"/>
          <w:lang w:eastAsia="fr-FR"/>
        </w:rPr>
        <w:t>les bénéfices réalisés dans les entreprises exploitées en France</w:t>
      </w:r>
      <w:r w:rsidRPr="00C30811">
        <w:rPr>
          <w:rFonts w:ascii="Rockwell" w:eastAsia="Times New Roman" w:hAnsi="Rockwell" w:cs="Times New Roman"/>
          <w:sz w:val="32"/>
          <w:szCs w:val="32"/>
          <w:lang w:eastAsia="fr-FR"/>
        </w:rPr>
        <w:t xml:space="preserve">, quelle que soit leur nationalité. </w:t>
      </w:r>
    </w:p>
    <w:p w14:paraId="64C40034" w14:textId="77777777" w:rsidR="00A20930" w:rsidRDefault="00A20930" w:rsidP="006A3059">
      <w:pPr>
        <w:jc w:val="both"/>
        <w:rPr>
          <w:rFonts w:ascii="Rockwell" w:eastAsia="Times New Roman" w:hAnsi="Rockwell" w:cs="Times New Roman"/>
          <w:sz w:val="32"/>
          <w:szCs w:val="32"/>
          <w:lang w:eastAsia="fr-FR"/>
        </w:rPr>
      </w:pPr>
    </w:p>
    <w:p w14:paraId="0135DFA5" w14:textId="2471BD2A" w:rsidR="00B8407B" w:rsidRDefault="00C30811" w:rsidP="006A3059">
      <w:pPr>
        <w:jc w:val="both"/>
        <w:rPr>
          <w:rFonts w:ascii="Rockwell" w:eastAsia="Times New Roman" w:hAnsi="Rockwell" w:cs="Times New Roman"/>
          <w:sz w:val="32"/>
          <w:szCs w:val="32"/>
          <w:lang w:eastAsia="fr-FR"/>
        </w:rPr>
      </w:pPr>
      <w:r w:rsidRPr="00C30811">
        <w:rPr>
          <w:rFonts w:ascii="Rockwell" w:eastAsia="Times New Roman" w:hAnsi="Rockwell" w:cs="Times New Roman"/>
          <w:sz w:val="32"/>
          <w:szCs w:val="32"/>
          <w:lang w:eastAsia="fr-FR"/>
        </w:rPr>
        <w:t xml:space="preserve">Il en résulte que les bénéfices réalisés par une société française dans des entreprises exploitées à l'étranger </w:t>
      </w:r>
      <w:r w:rsidRPr="00C30811">
        <w:rPr>
          <w:rFonts w:ascii="Rockwell" w:eastAsia="Times New Roman" w:hAnsi="Rockwell" w:cs="Times New Roman"/>
          <w:sz w:val="32"/>
          <w:szCs w:val="32"/>
          <w:u w:val="single"/>
          <w:lang w:eastAsia="fr-FR"/>
        </w:rPr>
        <w:t>ne sont pas soumis à l'IS français</w:t>
      </w:r>
      <w:r w:rsidRPr="00C30811">
        <w:rPr>
          <w:rFonts w:ascii="Rockwell" w:eastAsia="Times New Roman" w:hAnsi="Rockwell" w:cs="Times New Roman"/>
          <w:sz w:val="32"/>
          <w:szCs w:val="32"/>
          <w:lang w:eastAsia="fr-FR"/>
        </w:rPr>
        <w:t xml:space="preserve"> et </w:t>
      </w:r>
      <w:r w:rsidRPr="00C30811">
        <w:rPr>
          <w:rFonts w:ascii="Rockwell" w:eastAsia="Times New Roman" w:hAnsi="Rockwell" w:cs="Times New Roman"/>
          <w:sz w:val="32"/>
          <w:szCs w:val="32"/>
          <w:u w:val="single"/>
          <w:lang w:eastAsia="fr-FR"/>
        </w:rPr>
        <w:t>qu'une société étrangère est imposable à l'IS à raison des bénéfices tirés des entreprises qu'elle exploite en France</w:t>
      </w:r>
      <w:r w:rsidRPr="00C30811">
        <w:rPr>
          <w:rFonts w:ascii="Rockwell" w:eastAsia="Times New Roman" w:hAnsi="Rockwell" w:cs="Times New Roman"/>
          <w:sz w:val="32"/>
          <w:szCs w:val="32"/>
          <w:lang w:eastAsia="fr-FR"/>
        </w:rPr>
        <w:t xml:space="preserve">. Par conséquent, les sociétés imposables en France ne peuvent pas déduire de leur résultat imposable les pertes réalisées par les entreprises qu'elles exploitent à l'étranger. Par « </w:t>
      </w:r>
      <w:r w:rsidRPr="00C30811">
        <w:rPr>
          <w:rFonts w:ascii="Rockwell" w:eastAsia="Times New Roman" w:hAnsi="Rockwell" w:cs="Times New Roman"/>
          <w:i/>
          <w:iCs/>
          <w:sz w:val="32"/>
          <w:szCs w:val="32"/>
          <w:lang w:eastAsia="fr-FR"/>
        </w:rPr>
        <w:t>entreprise exploitée en France</w:t>
      </w:r>
      <w:r w:rsidRPr="00C30811">
        <w:rPr>
          <w:rFonts w:ascii="Rockwell" w:eastAsia="Times New Roman" w:hAnsi="Rockwell" w:cs="Times New Roman"/>
          <w:sz w:val="32"/>
          <w:szCs w:val="32"/>
          <w:lang w:eastAsia="fr-FR"/>
        </w:rPr>
        <w:t xml:space="preserve"> »</w:t>
      </w:r>
      <w:r w:rsidR="00E334AC">
        <w:rPr>
          <w:rFonts w:ascii="Rockwell" w:eastAsia="Times New Roman" w:hAnsi="Rockwell" w:cs="Times New Roman"/>
          <w:sz w:val="32"/>
          <w:szCs w:val="32"/>
          <w:lang w:eastAsia="fr-FR"/>
        </w:rPr>
        <w:t>,</w:t>
      </w:r>
      <w:r w:rsidRPr="00C30811">
        <w:rPr>
          <w:rFonts w:ascii="Rockwell" w:eastAsia="Times New Roman" w:hAnsi="Rockwell" w:cs="Times New Roman"/>
          <w:sz w:val="32"/>
          <w:szCs w:val="32"/>
          <w:lang w:eastAsia="fr-FR"/>
        </w:rPr>
        <w:t xml:space="preserve"> on entend </w:t>
      </w:r>
      <w:r w:rsidRPr="00C30811">
        <w:rPr>
          <w:rFonts w:ascii="Rockwell" w:eastAsia="Times New Roman" w:hAnsi="Rockwell" w:cs="Times New Roman"/>
          <w:sz w:val="32"/>
          <w:szCs w:val="32"/>
          <w:u w:val="single"/>
          <w:lang w:eastAsia="fr-FR"/>
        </w:rPr>
        <w:t>l'exercice habituel d'une activité en France</w:t>
      </w:r>
      <w:r w:rsidRPr="00C30811">
        <w:rPr>
          <w:rFonts w:ascii="Rockwell" w:eastAsia="Times New Roman" w:hAnsi="Rockwell" w:cs="Times New Roman"/>
          <w:sz w:val="32"/>
          <w:szCs w:val="32"/>
          <w:lang w:eastAsia="fr-FR"/>
        </w:rPr>
        <w:t xml:space="preserve">, qui peut s'exercer dans le cadre d'un établissement autonome ou bien, en l'absence d'établissement, par l'intermédiaire de représentants sans personnalité professionnelle indépendante, ou encore résulter de la réalisation d'opérations formant un cycle commercial complet. </w:t>
      </w:r>
      <w:r w:rsidR="00A20930">
        <w:rPr>
          <w:rFonts w:ascii="Rockwell" w:eastAsia="Times New Roman" w:hAnsi="Rockwell" w:cs="Times New Roman"/>
          <w:sz w:val="32"/>
          <w:szCs w:val="32"/>
          <w:lang w:eastAsia="fr-FR"/>
        </w:rPr>
        <w:t xml:space="preserve">Reprenons ces critères qui découlent de la jurisprudence du CE qui fixe 3 éléments : 1 l’activité doit s’exercer dans le cadre d’un </w:t>
      </w:r>
      <w:r w:rsidR="00A20930" w:rsidRPr="00713034">
        <w:rPr>
          <w:rFonts w:ascii="Rockwell" w:eastAsia="Times New Roman" w:hAnsi="Rockwell" w:cs="Times New Roman"/>
          <w:sz w:val="32"/>
          <w:szCs w:val="32"/>
          <w:u w:val="single"/>
          <w:lang w:eastAsia="fr-FR"/>
        </w:rPr>
        <w:t>établissement propre</w:t>
      </w:r>
      <w:r w:rsidR="00A20930">
        <w:rPr>
          <w:rFonts w:ascii="Rockwell" w:eastAsia="Times New Roman" w:hAnsi="Rockwell" w:cs="Times New Roman"/>
          <w:sz w:val="32"/>
          <w:szCs w:val="32"/>
          <w:lang w:eastAsia="fr-FR"/>
        </w:rPr>
        <w:t xml:space="preserve"> ce qui signifie installation permanente et autonome. Il suffit que ce premier critère se réalise pour que </w:t>
      </w:r>
      <w:r w:rsidR="00713034">
        <w:rPr>
          <w:rFonts w:ascii="Rockwell" w:eastAsia="Times New Roman" w:hAnsi="Rockwell" w:cs="Times New Roman"/>
          <w:sz w:val="32"/>
          <w:szCs w:val="32"/>
          <w:lang w:eastAsia="fr-FR"/>
        </w:rPr>
        <w:t>joue le principe de territorialité</w:t>
      </w:r>
      <w:r w:rsidR="00A20930">
        <w:rPr>
          <w:rFonts w:ascii="Rockwell" w:eastAsia="Times New Roman" w:hAnsi="Rockwell" w:cs="Times New Roman"/>
          <w:sz w:val="32"/>
          <w:szCs w:val="32"/>
          <w:lang w:eastAsia="fr-FR"/>
        </w:rPr>
        <w:t>. 2  En l’absence de ce premier critère, si l’activité s’exerce par l’intermédiaire de représentants</w:t>
      </w:r>
      <w:r w:rsidR="00713034">
        <w:rPr>
          <w:rFonts w:ascii="Rockwell" w:eastAsia="Times New Roman" w:hAnsi="Rockwell" w:cs="Times New Roman"/>
          <w:sz w:val="32"/>
          <w:szCs w:val="32"/>
          <w:lang w:eastAsia="fr-FR"/>
        </w:rPr>
        <w:t xml:space="preserve"> sans personnalité professionnelle indépendante. 3 En l’absence des deux premiers critères, si l’activité de l’entreprise forme un cycle commercial complet. </w:t>
      </w:r>
    </w:p>
    <w:p w14:paraId="3A72C84A" w14:textId="607AA0C6" w:rsidR="00B8407B" w:rsidRDefault="00B8407B" w:rsidP="006A3059">
      <w:pPr>
        <w:jc w:val="both"/>
        <w:rPr>
          <w:rFonts w:ascii="Rockwell" w:eastAsia="Times New Roman" w:hAnsi="Rockwell" w:cs="Times New Roman"/>
          <w:sz w:val="32"/>
          <w:szCs w:val="32"/>
          <w:lang w:eastAsia="fr-FR"/>
        </w:rPr>
      </w:pPr>
    </w:p>
    <w:p w14:paraId="5B76C503" w14:textId="56A42A6D" w:rsidR="00B8407B" w:rsidRDefault="00B8407B" w:rsidP="006A3059">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 xml:space="preserve">Cas de Total qui dégage un bénéfice mondial de 12 mds d’euros sans payer d’IS  en France car ses activités de raffinage </w:t>
      </w:r>
      <w:r w:rsidR="009A6397">
        <w:rPr>
          <w:rFonts w:ascii="Rockwell" w:eastAsia="Times New Roman" w:hAnsi="Rockwell" w:cs="Times New Roman"/>
          <w:sz w:val="32"/>
          <w:szCs w:val="32"/>
          <w:lang w:eastAsia="fr-FR"/>
        </w:rPr>
        <w:t xml:space="preserve">et de détail </w:t>
      </w:r>
      <w:r>
        <w:rPr>
          <w:rFonts w:ascii="Rockwell" w:eastAsia="Times New Roman" w:hAnsi="Rockwell" w:cs="Times New Roman"/>
          <w:sz w:val="32"/>
          <w:szCs w:val="32"/>
          <w:lang w:eastAsia="fr-FR"/>
        </w:rPr>
        <w:t xml:space="preserve">qui sont localisées en France sont déficitaires. </w:t>
      </w:r>
      <w:r w:rsidR="00024BD1">
        <w:rPr>
          <w:rFonts w:ascii="Rockwell" w:eastAsia="Times New Roman" w:hAnsi="Rockwell" w:cs="Times New Roman"/>
          <w:sz w:val="32"/>
          <w:szCs w:val="32"/>
          <w:lang w:eastAsia="fr-FR"/>
        </w:rPr>
        <w:t>Total ne paie pas d’IS en France mais dans les pays où le pétrole est extrait à des taux plus élevés qu’en France.</w:t>
      </w:r>
    </w:p>
    <w:p w14:paraId="1E685AD7" w14:textId="77777777" w:rsidR="00B8407B" w:rsidRDefault="00B8407B" w:rsidP="006A3059">
      <w:pPr>
        <w:jc w:val="both"/>
        <w:rPr>
          <w:rFonts w:ascii="Rockwell" w:eastAsia="Times New Roman" w:hAnsi="Rockwell" w:cs="Times New Roman"/>
          <w:sz w:val="32"/>
          <w:szCs w:val="32"/>
          <w:lang w:eastAsia="fr-FR"/>
        </w:rPr>
      </w:pPr>
    </w:p>
    <w:p w14:paraId="76DA5E06" w14:textId="0AD166FB" w:rsidR="00C30811" w:rsidRPr="00C30811" w:rsidRDefault="00C30811" w:rsidP="006A3059">
      <w:pPr>
        <w:jc w:val="both"/>
        <w:rPr>
          <w:rFonts w:ascii="Rockwell" w:eastAsia="Times New Roman" w:hAnsi="Rockwell" w:cs="Times New Roman"/>
          <w:sz w:val="32"/>
          <w:szCs w:val="32"/>
          <w:lang w:eastAsia="fr-FR"/>
        </w:rPr>
      </w:pPr>
      <w:r w:rsidRPr="00C30811">
        <w:rPr>
          <w:rFonts w:ascii="Rockwell" w:eastAsia="Times New Roman" w:hAnsi="Rockwell" w:cs="Times New Roman"/>
          <w:sz w:val="32"/>
          <w:szCs w:val="32"/>
          <w:lang w:eastAsia="fr-FR"/>
        </w:rPr>
        <w:t xml:space="preserve">Il convient de rappeler que ces différents critères ne sont à retenir que dans l'hypothèse où </w:t>
      </w:r>
      <w:r w:rsidRPr="00C30811">
        <w:rPr>
          <w:rFonts w:ascii="Rockwell" w:eastAsia="Times New Roman" w:hAnsi="Rockwell" w:cs="Times New Roman"/>
          <w:sz w:val="32"/>
          <w:szCs w:val="32"/>
          <w:u w:val="single"/>
          <w:lang w:eastAsia="fr-FR"/>
        </w:rPr>
        <w:t>aucune convention internationale</w:t>
      </w:r>
      <w:r w:rsidRPr="00C30811">
        <w:rPr>
          <w:rFonts w:ascii="Rockwell" w:eastAsia="Times New Roman" w:hAnsi="Rockwell" w:cs="Times New Roman"/>
          <w:sz w:val="32"/>
          <w:szCs w:val="32"/>
          <w:lang w:eastAsia="fr-FR"/>
        </w:rPr>
        <w:t xml:space="preserve"> relative aux doubles impositions n'est applicable.  </w:t>
      </w:r>
      <w:r w:rsidR="00A20930">
        <w:rPr>
          <w:rFonts w:ascii="Rockwell" w:eastAsia="Times New Roman" w:hAnsi="Rockwell" w:cs="Times New Roman"/>
          <w:sz w:val="32"/>
          <w:szCs w:val="32"/>
          <w:lang w:eastAsia="fr-FR"/>
        </w:rPr>
        <w:t xml:space="preserve">Au cas où il existe une CFI, c’est elle qui doit s’appliquer. </w:t>
      </w:r>
      <w:r w:rsidRPr="00C30811">
        <w:rPr>
          <w:rFonts w:ascii="Rockwell" w:eastAsia="Times New Roman" w:hAnsi="Rockwell" w:cs="Times New Roman"/>
          <w:sz w:val="32"/>
          <w:szCs w:val="32"/>
          <w:lang w:eastAsia="fr-FR"/>
        </w:rPr>
        <w:t xml:space="preserve">Sont également imposables en France, les bénéfices provenant d’immeubles sis en France et les droits assimilés Par ailleurs, certains profits génèrent une imposition en France alors </w:t>
      </w:r>
      <w:r w:rsidRPr="00C30811">
        <w:rPr>
          <w:rFonts w:ascii="Rockwell" w:eastAsia="Times New Roman" w:hAnsi="Rockwell" w:cs="Times New Roman"/>
          <w:sz w:val="32"/>
          <w:szCs w:val="32"/>
          <w:lang w:eastAsia="fr-FR"/>
        </w:rPr>
        <w:lastRenderedPageBreak/>
        <w:t xml:space="preserve">même que la société n’est pas fiscalement domiciliée en France. Ainsi, les plus-values immobilières réalisées par des personnes morales non-résidentes sont soumises à un prélèvement </w:t>
      </w:r>
      <w:r w:rsidR="00713034">
        <w:rPr>
          <w:rFonts w:ascii="Rockwell" w:eastAsia="Times New Roman" w:hAnsi="Rockwell" w:cs="Times New Roman"/>
          <w:sz w:val="32"/>
          <w:szCs w:val="32"/>
          <w:lang w:eastAsia="fr-FR"/>
        </w:rPr>
        <w:t>au titre de l’IS</w:t>
      </w:r>
      <w:r w:rsidRPr="00C30811">
        <w:rPr>
          <w:rFonts w:ascii="Rockwell" w:eastAsia="Times New Roman" w:hAnsi="Rockwell" w:cs="Times New Roman"/>
          <w:sz w:val="32"/>
          <w:szCs w:val="32"/>
          <w:lang w:eastAsia="fr-FR"/>
        </w:rPr>
        <w:t xml:space="preserve">. Ce prélèvement est déterminé selon les règles d’assiette et de taux de l’impôt sur les sociétés. Le prélèvement s’impute, le cas échéant, sur le montant de l’IS dû à raison de la même plus-value et l’excédent peut faire l’objet, sous certaines conditions, d’une restitution. D’autres profits immobiliers réalisés par des personnes morales établies hors de France font également l’objet d’un prélèvement </w:t>
      </w:r>
      <w:r w:rsidR="00713034">
        <w:rPr>
          <w:rFonts w:ascii="Rockwell" w:eastAsia="Times New Roman" w:hAnsi="Rockwell" w:cs="Times New Roman"/>
          <w:sz w:val="32"/>
          <w:szCs w:val="32"/>
          <w:lang w:eastAsia="fr-FR"/>
        </w:rPr>
        <w:t>fiscal au titre de l’IS</w:t>
      </w:r>
      <w:r w:rsidRPr="00C30811">
        <w:rPr>
          <w:rFonts w:ascii="Rockwell" w:eastAsia="Times New Roman" w:hAnsi="Rockwell" w:cs="Times New Roman"/>
          <w:sz w:val="32"/>
          <w:szCs w:val="32"/>
          <w:lang w:eastAsia="fr-FR"/>
        </w:rPr>
        <w:t xml:space="preserve">. </w:t>
      </w:r>
      <w:r w:rsidRPr="00E334AC">
        <w:rPr>
          <w:rFonts w:ascii="Rockwell" w:eastAsia="Times New Roman" w:hAnsi="Rockwell" w:cs="Times New Roman"/>
          <w:sz w:val="32"/>
          <w:szCs w:val="32"/>
          <w:lang w:eastAsia="fr-FR"/>
        </w:rPr>
        <w:t xml:space="preserve">Il s’agit des profits réalisés par les </w:t>
      </w:r>
      <w:r w:rsidRPr="00E334AC">
        <w:rPr>
          <w:rFonts w:ascii="Rockwell" w:eastAsia="Times New Roman" w:hAnsi="Rockwell" w:cs="Times New Roman"/>
          <w:sz w:val="32"/>
          <w:szCs w:val="32"/>
          <w:u w:val="single"/>
          <w:lang w:eastAsia="fr-FR"/>
        </w:rPr>
        <w:t>marchands de biens</w:t>
      </w:r>
      <w:r w:rsidRPr="00E334AC">
        <w:rPr>
          <w:rFonts w:ascii="Rockwell" w:eastAsia="Times New Roman" w:hAnsi="Rockwell" w:cs="Times New Roman"/>
          <w:sz w:val="32"/>
          <w:szCs w:val="32"/>
          <w:lang w:eastAsia="fr-FR"/>
        </w:rPr>
        <w:t xml:space="preserve"> ; des profits que les personnes réalisent à l’occasion de la </w:t>
      </w:r>
      <w:r w:rsidRPr="00E334AC">
        <w:rPr>
          <w:rFonts w:ascii="Rockwell" w:eastAsia="Times New Roman" w:hAnsi="Rockwell" w:cs="Times New Roman"/>
          <w:sz w:val="32"/>
          <w:szCs w:val="32"/>
          <w:u w:val="single"/>
          <w:lang w:eastAsia="fr-FR"/>
        </w:rPr>
        <w:t>cession d’immeubles qu’elles ont construits ou fait construire</w:t>
      </w:r>
      <w:r w:rsidRPr="00E334AC">
        <w:rPr>
          <w:rFonts w:ascii="Rockwell" w:eastAsia="Times New Roman" w:hAnsi="Rockwell" w:cs="Times New Roman"/>
          <w:sz w:val="32"/>
          <w:szCs w:val="32"/>
          <w:lang w:eastAsia="fr-FR"/>
        </w:rPr>
        <w:t xml:space="preserve"> et des droits immobiliers y afférents ; des profits réalisés par des personnes qui procèdent à la </w:t>
      </w:r>
      <w:r w:rsidRPr="00E334AC">
        <w:rPr>
          <w:rFonts w:ascii="Rockwell" w:eastAsia="Times New Roman" w:hAnsi="Rockwell" w:cs="Times New Roman"/>
          <w:sz w:val="32"/>
          <w:szCs w:val="32"/>
          <w:u w:val="single"/>
          <w:lang w:eastAsia="fr-FR"/>
        </w:rPr>
        <w:t>cession d’un terrain divisé en lots destinés à être construits</w:t>
      </w:r>
      <w:r w:rsidRPr="00E334AC">
        <w:rPr>
          <w:rFonts w:ascii="Rockwell" w:eastAsia="Times New Roman" w:hAnsi="Rockwell" w:cs="Times New Roman"/>
          <w:sz w:val="32"/>
          <w:szCs w:val="32"/>
          <w:lang w:eastAsia="fr-FR"/>
        </w:rPr>
        <w:t xml:space="preserve"> (article 244 bis du code général des impôts). </w:t>
      </w:r>
      <w:r w:rsidRPr="00C30811">
        <w:rPr>
          <w:rFonts w:ascii="Rockwell" w:eastAsia="Times New Roman" w:hAnsi="Rockwell" w:cs="Times New Roman"/>
          <w:sz w:val="32"/>
          <w:szCs w:val="32"/>
          <w:lang w:eastAsia="fr-FR"/>
        </w:rPr>
        <w:t xml:space="preserve">Ce prélèvement s’impute, le cas échéant sur le montant de l’IS dû à raison des mêmes profits et l’excédent peut faire l’objet sous certaines conditions d’une restitution. </w:t>
      </w:r>
    </w:p>
    <w:p w14:paraId="4E230D68" w14:textId="77777777" w:rsidR="00C30811" w:rsidRDefault="00C30811" w:rsidP="0096240E">
      <w:pPr>
        <w:jc w:val="both"/>
        <w:rPr>
          <w:rFonts w:ascii="Rockwell" w:hAnsi="Rockwell"/>
          <w:sz w:val="32"/>
          <w:szCs w:val="32"/>
        </w:rPr>
      </w:pPr>
    </w:p>
    <w:p w14:paraId="744A67A5" w14:textId="77777777" w:rsidR="0096240E" w:rsidRDefault="0096240E" w:rsidP="0096240E">
      <w:pPr>
        <w:jc w:val="both"/>
        <w:rPr>
          <w:rFonts w:ascii="Rockwell" w:hAnsi="Rockwell"/>
          <w:sz w:val="32"/>
          <w:szCs w:val="32"/>
        </w:rPr>
      </w:pPr>
    </w:p>
    <w:p w14:paraId="239CF370" w14:textId="77777777" w:rsidR="0096240E" w:rsidRDefault="0096240E" w:rsidP="0096240E">
      <w:pPr>
        <w:jc w:val="both"/>
        <w:rPr>
          <w:rFonts w:ascii="Rockwell" w:hAnsi="Rockwell"/>
          <w:sz w:val="32"/>
          <w:szCs w:val="32"/>
        </w:rPr>
      </w:pPr>
    </w:p>
    <w:p w14:paraId="30F9F05B" w14:textId="06553100" w:rsidR="00A3590E" w:rsidRDefault="00A3590E" w:rsidP="00A3590E">
      <w:pPr>
        <w:jc w:val="both"/>
        <w:rPr>
          <w:rFonts w:ascii="Rockwell" w:hAnsi="Rockwell"/>
          <w:b/>
          <w:sz w:val="56"/>
          <w:szCs w:val="56"/>
          <w:u w:val="single"/>
        </w:rPr>
      </w:pPr>
      <w:r>
        <w:rPr>
          <w:rFonts w:ascii="Rockwell" w:hAnsi="Rockwell"/>
          <w:b/>
          <w:sz w:val="56"/>
          <w:szCs w:val="56"/>
          <w:u w:val="single"/>
        </w:rPr>
        <w:t>CHAP. 2 : DÉTERMI</w:t>
      </w:r>
      <w:r w:rsidR="00DF5C0A">
        <w:rPr>
          <w:rFonts w:ascii="Rockwell" w:hAnsi="Rockwell"/>
          <w:b/>
          <w:sz w:val="56"/>
          <w:szCs w:val="56"/>
          <w:u w:val="single"/>
        </w:rPr>
        <w:t>NATION DU BÉNÉFICE IMPOSABLE</w:t>
      </w:r>
      <w:r>
        <w:rPr>
          <w:rFonts w:ascii="Rockwell" w:hAnsi="Rockwell"/>
          <w:b/>
          <w:sz w:val="56"/>
          <w:szCs w:val="56"/>
          <w:u w:val="single"/>
        </w:rPr>
        <w:t> :</w:t>
      </w:r>
    </w:p>
    <w:p w14:paraId="7853AD40" w14:textId="77777777" w:rsidR="00A3590E" w:rsidRDefault="00A3590E" w:rsidP="00A3590E">
      <w:pPr>
        <w:jc w:val="both"/>
        <w:rPr>
          <w:rFonts w:ascii="Rockwell" w:hAnsi="Rockwell"/>
          <w:sz w:val="32"/>
          <w:szCs w:val="32"/>
        </w:rPr>
      </w:pPr>
    </w:p>
    <w:p w14:paraId="0ECB470C" w14:textId="77777777" w:rsidR="00FF2A77" w:rsidRPr="00BB6CFB" w:rsidRDefault="00FF2A77" w:rsidP="00FF2A77">
      <w:pPr>
        <w:rPr>
          <w:rFonts w:ascii="Rockwell" w:eastAsia="Times New Roman" w:hAnsi="Rockwell" w:cs="Times New Roman"/>
          <w:b/>
          <w:bCs/>
          <w:sz w:val="40"/>
          <w:szCs w:val="40"/>
          <w:u w:val="single"/>
          <w:lang w:eastAsia="fr-FR"/>
        </w:rPr>
      </w:pPr>
      <w:r w:rsidRPr="00BB6CFB">
        <w:rPr>
          <w:rFonts w:ascii="Rockwell" w:eastAsia="Times New Roman" w:hAnsi="Rockwell" w:cs="Times New Roman"/>
          <w:b/>
          <w:bCs/>
          <w:sz w:val="40"/>
          <w:szCs w:val="40"/>
          <w:u w:val="single"/>
          <w:lang w:eastAsia="fr-FR"/>
        </w:rPr>
        <w:t>Section 1 : Le Droit applicable :</w:t>
      </w:r>
    </w:p>
    <w:p w14:paraId="3FACECC9" w14:textId="77777777" w:rsidR="00FF2A77" w:rsidRDefault="00FF2A77" w:rsidP="00FF2A77">
      <w:pPr>
        <w:rPr>
          <w:rFonts w:ascii="Rockwell" w:eastAsia="Times New Roman" w:hAnsi="Rockwell" w:cs="Times New Roman"/>
          <w:b/>
          <w:bCs/>
          <w:sz w:val="32"/>
          <w:szCs w:val="32"/>
          <w:u w:val="single"/>
          <w:lang w:eastAsia="fr-FR"/>
        </w:rPr>
      </w:pPr>
    </w:p>
    <w:p w14:paraId="4F7E471D" w14:textId="27714691" w:rsidR="00FF2A77" w:rsidRPr="00FF2A77" w:rsidRDefault="00FF2A77" w:rsidP="00FF2A77">
      <w:pPr>
        <w:rPr>
          <w:rFonts w:ascii="Rockwell" w:eastAsia="Times New Roman" w:hAnsi="Rockwell" w:cs="Times New Roman"/>
          <w:b/>
          <w:bCs/>
          <w:sz w:val="32"/>
          <w:szCs w:val="32"/>
          <w:u w:val="single"/>
          <w:lang w:eastAsia="fr-FR"/>
        </w:rPr>
      </w:pPr>
      <w:r w:rsidRPr="00FF2A77">
        <w:rPr>
          <w:rFonts w:ascii="Rockwell" w:eastAsia="Times New Roman" w:hAnsi="Rockwell" w:cs="Times New Roman"/>
          <w:b/>
          <w:bCs/>
          <w:sz w:val="32"/>
          <w:szCs w:val="32"/>
          <w:u w:val="single"/>
          <w:lang w:eastAsia="fr-FR"/>
        </w:rPr>
        <w:t>A/ RÈGLES GÉNÉRALES DE DÉTERMINATION DU BÉNÉFICE</w:t>
      </w:r>
      <w:r>
        <w:rPr>
          <w:rFonts w:ascii="Rockwell" w:eastAsia="Times New Roman" w:hAnsi="Rockwell" w:cs="Times New Roman"/>
          <w:b/>
          <w:bCs/>
          <w:sz w:val="32"/>
          <w:szCs w:val="32"/>
          <w:u w:val="single"/>
          <w:lang w:eastAsia="fr-FR"/>
        </w:rPr>
        <w:t> :</w:t>
      </w:r>
    </w:p>
    <w:p w14:paraId="0D47A5BC" w14:textId="434DB76C" w:rsidR="00A3590E" w:rsidRDefault="00A675BD" w:rsidP="00A3590E">
      <w:pPr>
        <w:jc w:val="both"/>
        <w:rPr>
          <w:rFonts w:ascii="Rockwell" w:hAnsi="Rockwell"/>
          <w:sz w:val="32"/>
          <w:szCs w:val="32"/>
        </w:rPr>
      </w:pPr>
      <w:r>
        <w:rPr>
          <w:rFonts w:ascii="Rockwell" w:hAnsi="Rockwell"/>
          <w:sz w:val="32"/>
          <w:szCs w:val="32"/>
        </w:rPr>
        <w:t xml:space="preserve">Le calcul du bénéfice imposable de l’entreprise soumise à l’IS suit quasiment les mêmes règles que l’IR sur les BIC. </w:t>
      </w:r>
      <w:r w:rsidR="008C6B4C">
        <w:rPr>
          <w:rFonts w:ascii="Rockwell" w:hAnsi="Rockwell"/>
          <w:sz w:val="32"/>
          <w:szCs w:val="32"/>
        </w:rPr>
        <w:t xml:space="preserve">En gros, on prend en compte </w:t>
      </w:r>
      <w:r w:rsidR="008C6B4C" w:rsidRPr="00FF2A77">
        <w:rPr>
          <w:rFonts w:ascii="Rockwell" w:hAnsi="Rockwell"/>
          <w:sz w:val="32"/>
          <w:szCs w:val="32"/>
          <w:u w:val="single"/>
        </w:rPr>
        <w:t>l’ensemble des créances et des dettes existant à la clôture de l’exercice</w:t>
      </w:r>
      <w:r w:rsidR="008C6B4C">
        <w:rPr>
          <w:rFonts w:ascii="Rockwell" w:hAnsi="Rockwell"/>
          <w:sz w:val="32"/>
          <w:szCs w:val="32"/>
        </w:rPr>
        <w:t>. L’article 38 du CGI donne la définition simple du bénéfice imposable : « </w:t>
      </w:r>
      <w:r w:rsidR="008C6B4C" w:rsidRPr="009E53B7">
        <w:rPr>
          <w:rFonts w:ascii="Rockwell" w:hAnsi="Rockwell"/>
          <w:i/>
          <w:sz w:val="32"/>
          <w:szCs w:val="32"/>
        </w:rPr>
        <w:t>Le bénéfice imposable est le bénéfice net déterminé d’après les résultats d’ensemble des opérations de toute nature effectuées par les entreprises y compris les cessions d’éléments quelconques de l’actif </w:t>
      </w:r>
      <w:r w:rsidR="008C6B4C">
        <w:rPr>
          <w:rFonts w:ascii="Rockwell" w:hAnsi="Rockwell"/>
          <w:sz w:val="32"/>
          <w:szCs w:val="32"/>
        </w:rPr>
        <w:t xml:space="preserve">». </w:t>
      </w:r>
      <w:r w:rsidR="001A4A38">
        <w:rPr>
          <w:rFonts w:ascii="Rockwell" w:hAnsi="Rockwell"/>
          <w:sz w:val="32"/>
          <w:szCs w:val="32"/>
        </w:rPr>
        <w:t xml:space="preserve">Cette méthode qui paraît simple, consiste à </w:t>
      </w:r>
      <w:r w:rsidR="001A4A38" w:rsidRPr="00FF2A77">
        <w:rPr>
          <w:rFonts w:ascii="Rockwell" w:hAnsi="Rockwell"/>
          <w:sz w:val="32"/>
          <w:szCs w:val="32"/>
          <w:u w:val="single"/>
        </w:rPr>
        <w:t>calculer le résultat d’ensemble</w:t>
      </w:r>
      <w:r w:rsidR="001A4A38">
        <w:rPr>
          <w:rFonts w:ascii="Rockwell" w:hAnsi="Rockwell"/>
          <w:sz w:val="32"/>
          <w:szCs w:val="32"/>
        </w:rPr>
        <w:t xml:space="preserve"> de l’entreprise au cours d’une période de 12 mois qui est égal au </w:t>
      </w:r>
      <w:r w:rsidR="001A4A38" w:rsidRPr="00FF2A77">
        <w:rPr>
          <w:rFonts w:ascii="Rockwell" w:hAnsi="Rockwell"/>
          <w:sz w:val="32"/>
          <w:szCs w:val="32"/>
          <w:u w:val="single"/>
        </w:rPr>
        <w:t>chiffre d’affaires</w:t>
      </w:r>
      <w:r w:rsidR="001A4A38">
        <w:rPr>
          <w:rFonts w:ascii="Rockwell" w:hAnsi="Rockwell"/>
          <w:sz w:val="32"/>
          <w:szCs w:val="32"/>
        </w:rPr>
        <w:t xml:space="preserve"> (total des ventes) moins </w:t>
      </w:r>
      <w:r w:rsidR="001A4A38" w:rsidRPr="00FF2A77">
        <w:rPr>
          <w:rFonts w:ascii="Rockwell" w:hAnsi="Rockwell"/>
          <w:sz w:val="32"/>
          <w:szCs w:val="32"/>
          <w:u w:val="single"/>
        </w:rPr>
        <w:t>toutes les charges</w:t>
      </w:r>
      <w:r w:rsidR="001A4A38">
        <w:rPr>
          <w:rFonts w:ascii="Rockwell" w:hAnsi="Rockwell"/>
          <w:sz w:val="32"/>
          <w:szCs w:val="32"/>
        </w:rPr>
        <w:t xml:space="preserve"> supportées par l’entreprises pour exercer son </w:t>
      </w:r>
      <w:r w:rsidR="001A4A38">
        <w:rPr>
          <w:rFonts w:ascii="Rockwell" w:hAnsi="Rockwell"/>
          <w:sz w:val="32"/>
          <w:szCs w:val="32"/>
        </w:rPr>
        <w:lastRenderedPageBreak/>
        <w:t xml:space="preserve">activité économique (frais d’exploitation). </w:t>
      </w:r>
      <w:r w:rsidR="00FF2A77">
        <w:rPr>
          <w:rFonts w:ascii="Rockwell" w:hAnsi="Rockwell"/>
          <w:sz w:val="32"/>
          <w:szCs w:val="32"/>
        </w:rPr>
        <w:t xml:space="preserve">Dans ce calcul, il faut prendre en compte les </w:t>
      </w:r>
      <w:r w:rsidR="00FF2A77" w:rsidRPr="00FF2A77">
        <w:rPr>
          <w:rFonts w:ascii="Rockwell" w:hAnsi="Rockwell"/>
          <w:sz w:val="32"/>
          <w:szCs w:val="32"/>
          <w:u w:val="single"/>
        </w:rPr>
        <w:t>cessions d’éléments actifs</w:t>
      </w:r>
      <w:r w:rsidR="00FF2A77">
        <w:rPr>
          <w:rFonts w:ascii="Rockwell" w:hAnsi="Rockwell"/>
          <w:sz w:val="32"/>
          <w:szCs w:val="32"/>
        </w:rPr>
        <w:t xml:space="preserve">. </w:t>
      </w:r>
      <w:r w:rsidR="001A4A38">
        <w:rPr>
          <w:rFonts w:ascii="Rockwell" w:hAnsi="Rockwell"/>
          <w:sz w:val="32"/>
          <w:szCs w:val="32"/>
        </w:rPr>
        <w:t xml:space="preserve">Si ce résultat net d’exploitation est positif, c’est un bénéfice. Si ce résultat net est négatif, ce sera un déficit. </w:t>
      </w:r>
      <w:r w:rsidR="008C0493">
        <w:rPr>
          <w:rFonts w:ascii="Rockwell" w:hAnsi="Rockwell"/>
          <w:sz w:val="32"/>
          <w:szCs w:val="32"/>
        </w:rPr>
        <w:t xml:space="preserve">La plupart du temps, le résultat est un bénéfice net qui correspond à l’enrichissement de l’entreprise au cours de l’exercice. Cet enrichissement se mesure en comparant </w:t>
      </w:r>
      <w:r w:rsidR="008C0493" w:rsidRPr="008C0493">
        <w:rPr>
          <w:rFonts w:ascii="Rockwell" w:hAnsi="Rockwell"/>
          <w:b/>
          <w:sz w:val="32"/>
          <w:szCs w:val="32"/>
        </w:rPr>
        <w:t xml:space="preserve">l’actif </w:t>
      </w:r>
      <w:r w:rsidR="008C0493">
        <w:rPr>
          <w:rFonts w:ascii="Rockwell" w:hAnsi="Rockwell"/>
          <w:sz w:val="32"/>
          <w:szCs w:val="32"/>
        </w:rPr>
        <w:t xml:space="preserve">qui totalise tout le patrimoine détenu par l’entreprise, en gros tout ce que l’entreprise possède, et le </w:t>
      </w:r>
      <w:r w:rsidR="008C0493" w:rsidRPr="008C0493">
        <w:rPr>
          <w:rFonts w:ascii="Rockwell" w:hAnsi="Rockwell"/>
          <w:b/>
          <w:sz w:val="32"/>
          <w:szCs w:val="32"/>
        </w:rPr>
        <w:t xml:space="preserve">passif </w:t>
      </w:r>
      <w:r w:rsidR="008C0493">
        <w:rPr>
          <w:rFonts w:ascii="Rockwell" w:hAnsi="Rockwell"/>
          <w:sz w:val="32"/>
          <w:szCs w:val="32"/>
        </w:rPr>
        <w:t>qui correspond à tout ce que doit l’</w:t>
      </w:r>
      <w:r w:rsidR="00807914">
        <w:rPr>
          <w:rFonts w:ascii="Rockwell" w:hAnsi="Rockwell"/>
          <w:sz w:val="32"/>
          <w:szCs w:val="32"/>
        </w:rPr>
        <w:t xml:space="preserve">entreprise doit. </w:t>
      </w:r>
      <w:r w:rsidR="00FF2A77">
        <w:rPr>
          <w:rFonts w:ascii="Rockwell" w:hAnsi="Rockwell"/>
          <w:sz w:val="32"/>
          <w:szCs w:val="32"/>
        </w:rPr>
        <w:t xml:space="preserve">En principe le bénéfice imposable de l’entreprise correspond au </w:t>
      </w:r>
      <w:r w:rsidR="00FF2A77" w:rsidRPr="00FF2A77">
        <w:rPr>
          <w:rFonts w:ascii="Rockwell" w:hAnsi="Rockwell"/>
          <w:sz w:val="32"/>
          <w:szCs w:val="32"/>
          <w:u w:val="single"/>
        </w:rPr>
        <w:t>résultat comptable</w:t>
      </w:r>
      <w:r w:rsidR="00FF2A77">
        <w:rPr>
          <w:rFonts w:ascii="Rockwell" w:hAnsi="Rockwell"/>
          <w:sz w:val="32"/>
          <w:szCs w:val="32"/>
        </w:rPr>
        <w:t xml:space="preserve">, mais celui-ci fait l’objet de corrections pour tenir compte des règles fiscales qui sont différentes des règles comptables. Il y a donc une différence entre le résultat comptable et le </w:t>
      </w:r>
      <w:r w:rsidR="00FF2A77" w:rsidRPr="006A3059">
        <w:rPr>
          <w:rFonts w:ascii="Rockwell" w:hAnsi="Rockwell"/>
          <w:sz w:val="32"/>
          <w:szCs w:val="32"/>
          <w:u w:val="single"/>
        </w:rPr>
        <w:t>résultat fiscal</w:t>
      </w:r>
      <w:r w:rsidR="00FF2A77">
        <w:rPr>
          <w:rFonts w:ascii="Rockwell" w:hAnsi="Rockwell"/>
          <w:sz w:val="32"/>
          <w:szCs w:val="32"/>
        </w:rPr>
        <w:t xml:space="preserve">. </w:t>
      </w:r>
    </w:p>
    <w:p w14:paraId="620B86D7" w14:textId="77777777" w:rsidR="00003B08" w:rsidRDefault="00003B08" w:rsidP="00A3590E">
      <w:pPr>
        <w:jc w:val="both"/>
        <w:rPr>
          <w:rFonts w:ascii="Rockwell" w:hAnsi="Rockwell"/>
          <w:sz w:val="32"/>
          <w:szCs w:val="32"/>
        </w:rPr>
      </w:pPr>
    </w:p>
    <w:p w14:paraId="2FA7896A" w14:textId="77777777" w:rsidR="00EA5C9C" w:rsidRDefault="00003B08" w:rsidP="003D5083">
      <w:pPr>
        <w:jc w:val="both"/>
        <w:rPr>
          <w:rFonts w:ascii="Rockwell" w:eastAsia="Times New Roman" w:hAnsi="Rockwell" w:cs="Times New Roman"/>
          <w:b/>
          <w:bCs/>
          <w:sz w:val="32"/>
          <w:szCs w:val="32"/>
          <w:u w:val="single"/>
          <w:lang w:eastAsia="fr-FR"/>
        </w:rPr>
      </w:pPr>
      <w:r w:rsidRPr="00003B08">
        <w:rPr>
          <w:rFonts w:ascii="Rockwell" w:eastAsia="Times New Roman" w:hAnsi="Rockwell" w:cs="Times New Roman"/>
          <w:b/>
          <w:bCs/>
          <w:sz w:val="32"/>
          <w:szCs w:val="32"/>
          <w:u w:val="single"/>
          <w:lang w:eastAsia="fr-FR"/>
        </w:rPr>
        <w:t xml:space="preserve">B. RÉGIME D’INTÉGRATION FISCALE </w:t>
      </w:r>
    </w:p>
    <w:p w14:paraId="58E6AA41" w14:textId="434E588A" w:rsidR="003D5083" w:rsidRPr="00EA5C9C" w:rsidRDefault="00003B08" w:rsidP="003D5083">
      <w:pPr>
        <w:jc w:val="both"/>
        <w:rPr>
          <w:rFonts w:ascii="Rockwell" w:eastAsia="Times New Roman" w:hAnsi="Rockwell" w:cs="Times New Roman"/>
          <w:b/>
          <w:bCs/>
          <w:sz w:val="32"/>
          <w:szCs w:val="32"/>
          <w:u w:val="single"/>
          <w:lang w:eastAsia="fr-FR"/>
        </w:rPr>
      </w:pPr>
      <w:r w:rsidRPr="00003B08">
        <w:rPr>
          <w:rFonts w:ascii="Rockwell" w:eastAsia="Times New Roman" w:hAnsi="Rockwell" w:cs="Times New Roman"/>
          <w:b/>
          <w:bCs/>
          <w:sz w:val="32"/>
          <w:szCs w:val="32"/>
          <w:u w:val="single"/>
          <w:lang w:eastAsia="fr-FR"/>
        </w:rPr>
        <w:t xml:space="preserve">(articles 223 A à 223 U du CGI) </w:t>
      </w:r>
    </w:p>
    <w:p w14:paraId="7879DA31" w14:textId="10C489BB" w:rsidR="006A3059" w:rsidRDefault="00003B08" w:rsidP="003D5083">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 xml:space="preserve">En vue de mieux assurer la neutralité de la fiscalité à l'égard des structures économiques et de renforcer la compétitivité des entreprises, le code général des impôts </w:t>
      </w:r>
      <w:r w:rsidR="0064787F">
        <w:rPr>
          <w:rFonts w:ascii="Rockwell" w:eastAsia="Times New Roman" w:hAnsi="Rockwell" w:cs="Times New Roman"/>
          <w:sz w:val="32"/>
          <w:szCs w:val="32"/>
          <w:lang w:eastAsia="fr-FR"/>
        </w:rPr>
        <w:t xml:space="preserve">art 223 A </w:t>
      </w:r>
      <w:r w:rsidRPr="00003B08">
        <w:rPr>
          <w:rFonts w:ascii="Rockwell" w:eastAsia="Times New Roman" w:hAnsi="Rockwell" w:cs="Times New Roman"/>
          <w:sz w:val="32"/>
          <w:szCs w:val="32"/>
          <w:lang w:eastAsia="fr-FR"/>
        </w:rPr>
        <w:t xml:space="preserve">institue </w:t>
      </w:r>
      <w:r w:rsidR="0064787F">
        <w:rPr>
          <w:rFonts w:ascii="Rockwell" w:eastAsia="Times New Roman" w:hAnsi="Rockwell" w:cs="Times New Roman"/>
          <w:sz w:val="32"/>
          <w:szCs w:val="32"/>
          <w:lang w:eastAsia="fr-FR"/>
        </w:rPr>
        <w:t xml:space="preserve">depuis 1988 </w:t>
      </w:r>
      <w:r w:rsidRPr="00003B08">
        <w:rPr>
          <w:rFonts w:ascii="Rockwell" w:eastAsia="Times New Roman" w:hAnsi="Rockwell" w:cs="Times New Roman"/>
          <w:sz w:val="32"/>
          <w:szCs w:val="32"/>
          <w:lang w:eastAsia="fr-FR"/>
        </w:rPr>
        <w:t xml:space="preserve">un régime d’intégration fiscale pour les groupes de sociétés. Ce régime s'applique </w:t>
      </w:r>
      <w:r w:rsidRPr="00003B08">
        <w:rPr>
          <w:rFonts w:ascii="Rockwell" w:eastAsia="Times New Roman" w:hAnsi="Rockwell" w:cs="Times New Roman"/>
          <w:sz w:val="32"/>
          <w:szCs w:val="32"/>
          <w:u w:val="single"/>
          <w:lang w:eastAsia="fr-FR"/>
        </w:rPr>
        <w:t>sur option</w:t>
      </w:r>
      <w:r w:rsidRPr="00003B08">
        <w:rPr>
          <w:rFonts w:ascii="Rockwell" w:eastAsia="Times New Roman" w:hAnsi="Rockwell" w:cs="Times New Roman"/>
          <w:sz w:val="32"/>
          <w:szCs w:val="32"/>
          <w:lang w:eastAsia="fr-FR"/>
        </w:rPr>
        <w:t xml:space="preserve"> aux sociétés soumises à l'impôt sur les sociétés. </w:t>
      </w:r>
    </w:p>
    <w:p w14:paraId="275C10DB" w14:textId="77777777" w:rsidR="006A3059" w:rsidRDefault="006A3059" w:rsidP="003D5083">
      <w:pPr>
        <w:jc w:val="both"/>
        <w:rPr>
          <w:rFonts w:ascii="Rockwell" w:eastAsia="Times New Roman" w:hAnsi="Rockwell" w:cs="Times New Roman"/>
          <w:sz w:val="32"/>
          <w:szCs w:val="32"/>
          <w:lang w:eastAsia="fr-FR"/>
        </w:rPr>
      </w:pPr>
    </w:p>
    <w:p w14:paraId="0395599C" w14:textId="391B03E2" w:rsidR="00EA5C9C" w:rsidRDefault="00003B08" w:rsidP="003D5083">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 xml:space="preserve">Il permet à une société dite « tête de groupe » de se constituer : </w:t>
      </w:r>
    </w:p>
    <w:p w14:paraId="5C70BF6E" w14:textId="77777777" w:rsidR="006A3059" w:rsidRPr="00EA5C9C" w:rsidRDefault="006A3059" w:rsidP="003D5083">
      <w:pPr>
        <w:jc w:val="both"/>
        <w:rPr>
          <w:rFonts w:ascii="Rockwell" w:eastAsia="Times New Roman" w:hAnsi="Rockwell" w:cs="Times New Roman"/>
          <w:sz w:val="32"/>
          <w:szCs w:val="32"/>
          <w:lang w:eastAsia="fr-FR"/>
        </w:rPr>
      </w:pPr>
    </w:p>
    <w:p w14:paraId="4CB041E1" w14:textId="148E0FA4" w:rsidR="00EA5C9C" w:rsidRPr="00EA5C9C" w:rsidRDefault="00003B08" w:rsidP="003D5083">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 xml:space="preserve">• soit </w:t>
      </w:r>
      <w:r w:rsidRPr="00003B08">
        <w:rPr>
          <w:rFonts w:ascii="Rockwell" w:eastAsia="Times New Roman" w:hAnsi="Rockwell" w:cs="Times New Roman"/>
          <w:sz w:val="32"/>
          <w:szCs w:val="32"/>
          <w:u w:val="single"/>
          <w:lang w:eastAsia="fr-FR"/>
        </w:rPr>
        <w:t>seule redevable de l'impôt sur les sociétés dû sur l'ensemble des résultats du groupe</w:t>
      </w:r>
      <w:r w:rsidRPr="00003B08">
        <w:rPr>
          <w:rFonts w:ascii="Rockwell" w:eastAsia="Times New Roman" w:hAnsi="Rockwell" w:cs="Times New Roman"/>
          <w:sz w:val="32"/>
          <w:szCs w:val="32"/>
          <w:lang w:eastAsia="fr-FR"/>
        </w:rPr>
        <w:t xml:space="preserve"> formé par elle-même et les sociétés dont elle détient 95 % au moins du capital de manière continue au cours de l'exercice, directement ou indirectement par l'intermédiaire de sociétés du groupe (groupe dit </w:t>
      </w:r>
      <w:r w:rsidRPr="00003B08">
        <w:rPr>
          <w:rFonts w:ascii="Rockwell" w:eastAsia="Times New Roman" w:hAnsi="Rockwell" w:cs="Times New Roman"/>
          <w:b/>
          <w:bCs/>
          <w:i/>
          <w:iCs/>
          <w:sz w:val="32"/>
          <w:szCs w:val="32"/>
          <w:lang w:eastAsia="fr-FR"/>
        </w:rPr>
        <w:t>« vertical »</w:t>
      </w:r>
      <w:r w:rsidRPr="00003B08">
        <w:rPr>
          <w:rFonts w:ascii="Rockwell" w:eastAsia="Times New Roman" w:hAnsi="Rockwell" w:cs="Times New Roman"/>
          <w:sz w:val="32"/>
          <w:szCs w:val="32"/>
          <w:lang w:eastAsia="fr-FR"/>
        </w:rPr>
        <w:t xml:space="preserve">). </w:t>
      </w:r>
      <w:r w:rsidR="0064787F" w:rsidRPr="0064787F">
        <w:rPr>
          <w:rFonts w:ascii="Rockwell" w:eastAsia="Times New Roman" w:hAnsi="Rockwell" w:cs="Times New Roman"/>
          <w:sz w:val="32"/>
          <w:szCs w:val="32"/>
          <w:u w:val="single"/>
          <w:lang w:eastAsia="fr-FR"/>
        </w:rPr>
        <w:t>Toutes les sociétés du groupe doivent être installées en France</w:t>
      </w:r>
      <w:r w:rsidR="0064787F">
        <w:rPr>
          <w:rFonts w:ascii="Rockwell" w:eastAsia="Times New Roman" w:hAnsi="Rockwell" w:cs="Times New Roman"/>
          <w:sz w:val="32"/>
          <w:szCs w:val="32"/>
          <w:lang w:eastAsia="fr-FR"/>
        </w:rPr>
        <w:t xml:space="preserve">. </w:t>
      </w:r>
      <w:r w:rsidRPr="00003B08">
        <w:rPr>
          <w:rFonts w:ascii="Rockwell" w:eastAsia="Times New Roman" w:hAnsi="Rockwell" w:cs="Times New Roman"/>
          <w:sz w:val="32"/>
          <w:szCs w:val="32"/>
          <w:lang w:eastAsia="fr-FR"/>
        </w:rPr>
        <w:t xml:space="preserve">La société mère ne peut pas être elle-même détenue à 95 % au moins par une autre société soumise à l'impôt sur les sociétés. Elle peut retenir toutes les sociétés qui peuvent être membres du groupe ou seulement certaines d'entre elles ; </w:t>
      </w:r>
    </w:p>
    <w:p w14:paraId="3048EB08" w14:textId="3BDC4DE9" w:rsidR="00A0002A" w:rsidRDefault="00003B08" w:rsidP="003D5083">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 xml:space="preserve">• soit </w:t>
      </w:r>
      <w:r w:rsidRPr="00003B08">
        <w:rPr>
          <w:rFonts w:ascii="Rockwell" w:eastAsia="Times New Roman" w:hAnsi="Rockwell" w:cs="Times New Roman"/>
          <w:sz w:val="32"/>
          <w:szCs w:val="32"/>
          <w:u w:val="single"/>
          <w:lang w:eastAsia="fr-FR"/>
        </w:rPr>
        <w:t>seule redevable de l'impôt sur les sociétés dû sur l'ensemble des résultats du groupe</w:t>
      </w:r>
      <w:r w:rsidRPr="00003B08">
        <w:rPr>
          <w:rFonts w:ascii="Rockwell" w:eastAsia="Times New Roman" w:hAnsi="Rockwell" w:cs="Times New Roman"/>
          <w:sz w:val="32"/>
          <w:szCs w:val="32"/>
          <w:lang w:eastAsia="fr-FR"/>
        </w:rPr>
        <w:t xml:space="preserve"> formé par elle-même et ses sociétés sœurs, dont le capital est détenu à 95 % au moins directement ou indirectement par une même mère, désignée </w:t>
      </w:r>
      <w:r w:rsidRPr="00003B08">
        <w:rPr>
          <w:rFonts w:ascii="Rockwell" w:eastAsia="Times New Roman" w:hAnsi="Rockwell" w:cs="Times New Roman"/>
          <w:b/>
          <w:bCs/>
          <w:i/>
          <w:iCs/>
          <w:sz w:val="32"/>
          <w:szCs w:val="32"/>
          <w:lang w:eastAsia="fr-FR"/>
        </w:rPr>
        <w:t>« entité mère non résidente »</w:t>
      </w:r>
      <w:r w:rsidRPr="00003B08">
        <w:rPr>
          <w:rFonts w:ascii="Rockwell" w:eastAsia="Times New Roman" w:hAnsi="Rockwell" w:cs="Times New Roman"/>
          <w:sz w:val="32"/>
          <w:szCs w:val="32"/>
          <w:lang w:eastAsia="fr-FR"/>
        </w:rPr>
        <w:t xml:space="preserve"> et </w:t>
      </w:r>
      <w:r w:rsidRPr="00003B08">
        <w:rPr>
          <w:rFonts w:ascii="Rockwell" w:eastAsia="Times New Roman" w:hAnsi="Rockwell" w:cs="Times New Roman"/>
          <w:sz w:val="32"/>
          <w:szCs w:val="32"/>
          <w:lang w:eastAsia="fr-FR"/>
        </w:rPr>
        <w:lastRenderedPageBreak/>
        <w:t xml:space="preserve">établie dans un État membre de l'Union européenne ou dans un autre État partie à l'accord sur l'Espace économique européen ayant conclu avec la France une convention d'assistance en vue de lutter contre la fraude et l'évasion fiscales (groupe dit </w:t>
      </w:r>
      <w:r w:rsidRPr="00003B08">
        <w:rPr>
          <w:rFonts w:ascii="Rockwell" w:eastAsia="Times New Roman" w:hAnsi="Rockwell" w:cs="Times New Roman"/>
          <w:b/>
          <w:bCs/>
          <w:i/>
          <w:iCs/>
          <w:sz w:val="32"/>
          <w:szCs w:val="32"/>
          <w:lang w:eastAsia="fr-FR"/>
        </w:rPr>
        <w:t>« horizontal »</w:t>
      </w:r>
      <w:r w:rsidRPr="00003B08">
        <w:rPr>
          <w:rFonts w:ascii="Rockwell" w:eastAsia="Times New Roman" w:hAnsi="Rockwell" w:cs="Times New Roman"/>
          <w:sz w:val="32"/>
          <w:szCs w:val="32"/>
          <w:lang w:eastAsia="fr-FR"/>
        </w:rPr>
        <w:t xml:space="preserve">). </w:t>
      </w:r>
      <w:r w:rsidR="00A0002A" w:rsidRPr="00EA5C9C">
        <w:rPr>
          <w:rFonts w:ascii="Rockwell" w:eastAsia="Times New Roman" w:hAnsi="Rockwell" w:cs="Times New Roman"/>
          <w:sz w:val="32"/>
          <w:szCs w:val="32"/>
          <w:lang w:eastAsia="fr-FR"/>
        </w:rPr>
        <w:t>Ceci résulte de la</w:t>
      </w:r>
      <w:r w:rsidR="00A0002A" w:rsidRPr="00A0002A">
        <w:rPr>
          <w:rFonts w:ascii="Rockwell" w:eastAsia="Times New Roman" w:hAnsi="Rockwell" w:cs="Times New Roman"/>
          <w:sz w:val="32"/>
          <w:szCs w:val="32"/>
          <w:lang w:eastAsia="fr-FR"/>
        </w:rPr>
        <w:t xml:space="preserve"> Loi n° 2014-1655 du 29 décembre 2014 de finances rectificative pour 2014 (article 63</w:t>
      </w:r>
      <w:r w:rsidR="0064787F">
        <w:rPr>
          <w:rFonts w:ascii="Rockwell" w:eastAsia="Times New Roman" w:hAnsi="Rockwell" w:cs="Times New Roman"/>
          <w:sz w:val="32"/>
          <w:szCs w:val="32"/>
          <w:lang w:eastAsia="fr-FR"/>
        </w:rPr>
        <w:t>).</w:t>
      </w:r>
    </w:p>
    <w:p w14:paraId="0DA5A56F" w14:textId="77777777" w:rsidR="0064787F" w:rsidRPr="00A0002A" w:rsidRDefault="0064787F" w:rsidP="003D5083">
      <w:pPr>
        <w:jc w:val="both"/>
        <w:rPr>
          <w:rFonts w:ascii="Rockwell" w:eastAsia="Times New Roman" w:hAnsi="Rockwell" w:cs="Times New Roman"/>
          <w:sz w:val="32"/>
          <w:szCs w:val="32"/>
          <w:lang w:eastAsia="fr-FR"/>
        </w:rPr>
      </w:pPr>
    </w:p>
    <w:p w14:paraId="22AE917A" w14:textId="786D70FD" w:rsidR="00003B08" w:rsidRPr="00EA5C9C" w:rsidRDefault="00003B08" w:rsidP="00003B08">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 xml:space="preserve"> Enfin, le régime de l’intégration fiscale s’applique, sous conditions, à certaines sociétés d’assurance mutuelle et groupes bancaires mutualistes ainsi qu’aux établissements publics industriels et commerciaux (EPIC). </w:t>
      </w:r>
    </w:p>
    <w:p w14:paraId="5A442659" w14:textId="0947C874" w:rsidR="00003B08" w:rsidRDefault="00003B08" w:rsidP="00003B08">
      <w:pPr>
        <w:jc w:val="both"/>
        <w:rPr>
          <w:rFonts w:ascii="Rockwell" w:eastAsia="Times New Roman" w:hAnsi="Rockwell" w:cs="Times New Roman"/>
          <w:sz w:val="32"/>
          <w:szCs w:val="32"/>
          <w:lang w:eastAsia="fr-FR"/>
        </w:rPr>
      </w:pPr>
    </w:p>
    <w:p w14:paraId="21E1CF4D" w14:textId="77777777" w:rsidR="003E25A6" w:rsidRPr="00EA5C9C" w:rsidRDefault="003E25A6" w:rsidP="00003B08">
      <w:pPr>
        <w:jc w:val="both"/>
        <w:rPr>
          <w:rFonts w:ascii="Rockwell" w:eastAsia="Times New Roman" w:hAnsi="Rockwell" w:cs="Times New Roman"/>
          <w:sz w:val="32"/>
          <w:szCs w:val="32"/>
          <w:lang w:eastAsia="fr-FR"/>
        </w:rPr>
      </w:pPr>
    </w:p>
    <w:p w14:paraId="3053CB7A" w14:textId="43ED0729" w:rsidR="003D5083" w:rsidRPr="00EA5C9C" w:rsidRDefault="00FF2A77" w:rsidP="00003B08">
      <w:pPr>
        <w:jc w:val="both"/>
        <w:rPr>
          <w:rFonts w:ascii="Rockwell" w:eastAsia="Times New Roman" w:hAnsi="Rockwell" w:cs="Times New Roman"/>
          <w:b/>
          <w:bCs/>
          <w:sz w:val="32"/>
          <w:szCs w:val="32"/>
          <w:u w:val="single"/>
          <w:lang w:eastAsia="fr-FR"/>
        </w:rPr>
      </w:pPr>
      <w:r>
        <w:rPr>
          <w:rFonts w:ascii="Rockwell" w:eastAsia="Times New Roman" w:hAnsi="Rockwell" w:cs="Times New Roman"/>
          <w:b/>
          <w:bCs/>
          <w:sz w:val="32"/>
          <w:szCs w:val="32"/>
          <w:u w:val="single"/>
          <w:lang w:eastAsia="fr-FR"/>
        </w:rPr>
        <w:t>Section 2 :</w:t>
      </w:r>
      <w:r w:rsidR="00003B08" w:rsidRPr="00003B08">
        <w:rPr>
          <w:rFonts w:ascii="Rockwell" w:eastAsia="Times New Roman" w:hAnsi="Rockwell" w:cs="Times New Roman"/>
          <w:b/>
          <w:bCs/>
          <w:sz w:val="32"/>
          <w:szCs w:val="32"/>
          <w:u w:val="single"/>
          <w:lang w:eastAsia="fr-FR"/>
        </w:rPr>
        <w:t xml:space="preserve"> C</w:t>
      </w:r>
      <w:r>
        <w:rPr>
          <w:rFonts w:ascii="Rockwell" w:eastAsia="Times New Roman" w:hAnsi="Rockwell" w:cs="Times New Roman"/>
          <w:b/>
          <w:bCs/>
          <w:sz w:val="32"/>
          <w:szCs w:val="32"/>
          <w:u w:val="single"/>
          <w:lang w:eastAsia="fr-FR"/>
        </w:rPr>
        <w:t>alcul</w:t>
      </w:r>
      <w:r w:rsidR="00003B08" w:rsidRPr="00003B08">
        <w:rPr>
          <w:rFonts w:ascii="Rockwell" w:eastAsia="Times New Roman" w:hAnsi="Rockwell" w:cs="Times New Roman"/>
          <w:b/>
          <w:bCs/>
          <w:sz w:val="32"/>
          <w:szCs w:val="32"/>
          <w:u w:val="single"/>
          <w:lang w:eastAsia="fr-FR"/>
        </w:rPr>
        <w:t xml:space="preserve"> </w:t>
      </w:r>
      <w:r>
        <w:rPr>
          <w:rFonts w:ascii="Rockwell" w:eastAsia="Times New Roman" w:hAnsi="Rockwell" w:cs="Times New Roman"/>
          <w:b/>
          <w:bCs/>
          <w:sz w:val="32"/>
          <w:szCs w:val="32"/>
          <w:u w:val="single"/>
          <w:lang w:eastAsia="fr-FR"/>
        </w:rPr>
        <w:t>du bénéfice imposable</w:t>
      </w:r>
    </w:p>
    <w:p w14:paraId="3E26ADBC" w14:textId="6B156F18" w:rsidR="00003B08" w:rsidRPr="00EA5C9C" w:rsidRDefault="00003B08" w:rsidP="00003B08">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 xml:space="preserve">Le bénéfice imposable est égal à la différence entre le bénéfice brut d'exploitation et les produits accessoires, d'une part, et les frais et charges déductibles, d'autre part. </w:t>
      </w:r>
    </w:p>
    <w:p w14:paraId="7ABAECFD" w14:textId="63AAF0B8" w:rsidR="00003B08" w:rsidRDefault="00003B08" w:rsidP="00003B08">
      <w:pPr>
        <w:jc w:val="both"/>
        <w:rPr>
          <w:rFonts w:ascii="Rockwell" w:eastAsia="Times New Roman" w:hAnsi="Rockwell" w:cs="Times New Roman"/>
          <w:sz w:val="32"/>
          <w:szCs w:val="32"/>
          <w:lang w:eastAsia="fr-FR"/>
        </w:rPr>
      </w:pPr>
    </w:p>
    <w:p w14:paraId="2FE1A527" w14:textId="01FF2498" w:rsidR="0087062C" w:rsidRPr="0087062C" w:rsidRDefault="0087062C" w:rsidP="00003B08">
      <w:pPr>
        <w:jc w:val="both"/>
        <w:rPr>
          <w:rFonts w:ascii="Rockwell" w:eastAsia="Times New Roman" w:hAnsi="Rockwell" w:cs="Times New Roman"/>
          <w:sz w:val="32"/>
          <w:szCs w:val="32"/>
          <w:u w:val="single"/>
          <w:lang w:eastAsia="fr-FR"/>
        </w:rPr>
      </w:pPr>
      <w:r w:rsidRPr="0087062C">
        <w:rPr>
          <w:rFonts w:ascii="Rockwell" w:eastAsia="Times New Roman" w:hAnsi="Rockwell" w:cs="Times New Roman"/>
          <w:sz w:val="32"/>
          <w:szCs w:val="32"/>
          <w:u w:val="single"/>
          <w:lang w:eastAsia="fr-FR"/>
        </w:rPr>
        <w:t>A/ L’addition des produits imposables :</w:t>
      </w:r>
    </w:p>
    <w:p w14:paraId="08E258EA" w14:textId="6CE3D04C" w:rsidR="00003B08" w:rsidRPr="00EA5C9C" w:rsidRDefault="00003B08" w:rsidP="00003B08">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 xml:space="preserve">En application des règles comptables, le bénéfice brut d'exploitation est constitué par la différence entre : </w:t>
      </w:r>
    </w:p>
    <w:p w14:paraId="4FD06C40" w14:textId="77777777" w:rsidR="00003B08" w:rsidRPr="00EA5C9C" w:rsidRDefault="00003B08" w:rsidP="00003B08">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 xml:space="preserve">• les ventes et prestations de l'exercice et le stock existant en fin d'exercice ; </w:t>
      </w:r>
    </w:p>
    <w:p w14:paraId="68EA7428" w14:textId="77777777" w:rsidR="00003B08" w:rsidRPr="00EA5C9C" w:rsidRDefault="00003B08" w:rsidP="00003B08">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 xml:space="preserve">• et le coût de revient des ventes et prestations et le stock en début d'exercice. </w:t>
      </w:r>
    </w:p>
    <w:p w14:paraId="46BB9520" w14:textId="107C0E53" w:rsidR="00003B08" w:rsidRDefault="00003B08" w:rsidP="00003B08">
      <w:pPr>
        <w:jc w:val="both"/>
        <w:rPr>
          <w:rFonts w:ascii="Rockwell" w:eastAsia="Times New Roman" w:hAnsi="Rockwell" w:cs="Times New Roman"/>
          <w:sz w:val="32"/>
          <w:szCs w:val="32"/>
          <w:lang w:eastAsia="fr-FR"/>
        </w:rPr>
      </w:pPr>
    </w:p>
    <w:p w14:paraId="023E4FD0" w14:textId="36B134B0" w:rsidR="0087062C" w:rsidRDefault="0087062C" w:rsidP="00003B08">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 xml:space="preserve">Le plus important à comptabiliser est constitué par les </w:t>
      </w:r>
      <w:r w:rsidRPr="0087062C">
        <w:rPr>
          <w:rFonts w:ascii="Rockwell" w:eastAsia="Times New Roman" w:hAnsi="Rockwell" w:cs="Times New Roman"/>
          <w:sz w:val="32"/>
          <w:szCs w:val="32"/>
          <w:u w:val="single"/>
          <w:lang w:eastAsia="fr-FR"/>
        </w:rPr>
        <w:t>produits d’exploitation</w:t>
      </w:r>
      <w:r>
        <w:rPr>
          <w:rFonts w:ascii="Rockwell" w:eastAsia="Times New Roman" w:hAnsi="Rockwell" w:cs="Times New Roman"/>
          <w:sz w:val="32"/>
          <w:szCs w:val="32"/>
          <w:lang w:eastAsia="fr-FR"/>
        </w:rPr>
        <w:t xml:space="preserve"> résultant des ventes de produits et de prestation de services, des marchés de travaux. Ces produits sont calculés en fonction d’un rattachement à l’exercice. Sont également comptabilisés les </w:t>
      </w:r>
      <w:r w:rsidRPr="0087062C">
        <w:rPr>
          <w:rFonts w:ascii="Rockwell" w:eastAsia="Times New Roman" w:hAnsi="Rockwell" w:cs="Times New Roman"/>
          <w:sz w:val="32"/>
          <w:szCs w:val="32"/>
          <w:u w:val="single"/>
          <w:lang w:eastAsia="fr-FR"/>
        </w:rPr>
        <w:t>produits financiers</w:t>
      </w:r>
      <w:r>
        <w:rPr>
          <w:rFonts w:ascii="Rockwell" w:eastAsia="Times New Roman" w:hAnsi="Rockwell" w:cs="Times New Roman"/>
          <w:sz w:val="32"/>
          <w:szCs w:val="32"/>
          <w:lang w:eastAsia="fr-FR"/>
        </w:rPr>
        <w:t xml:space="preserve"> et les </w:t>
      </w:r>
      <w:r w:rsidRPr="0087062C">
        <w:rPr>
          <w:rFonts w:ascii="Rockwell" w:eastAsia="Times New Roman" w:hAnsi="Rockwell" w:cs="Times New Roman"/>
          <w:sz w:val="32"/>
          <w:szCs w:val="32"/>
          <w:u w:val="single"/>
          <w:lang w:eastAsia="fr-FR"/>
        </w:rPr>
        <w:t>produits exceptionnels</w:t>
      </w:r>
      <w:r>
        <w:rPr>
          <w:rFonts w:ascii="Rockwell" w:eastAsia="Times New Roman" w:hAnsi="Rockwell" w:cs="Times New Roman"/>
          <w:sz w:val="32"/>
          <w:szCs w:val="32"/>
          <w:lang w:eastAsia="fr-FR"/>
        </w:rPr>
        <w:t xml:space="preserve">. On ne doit pas oublier de comptabiliser les </w:t>
      </w:r>
      <w:r w:rsidRPr="00892F3A">
        <w:rPr>
          <w:rFonts w:ascii="Rockwell" w:eastAsia="Times New Roman" w:hAnsi="Rockwell" w:cs="Times New Roman"/>
          <w:sz w:val="32"/>
          <w:szCs w:val="32"/>
          <w:u w:val="single"/>
          <w:lang w:eastAsia="fr-FR"/>
        </w:rPr>
        <w:t>stocks et en cours</w:t>
      </w:r>
      <w:r w:rsidR="00892F3A">
        <w:rPr>
          <w:rFonts w:ascii="Rockwell" w:eastAsia="Times New Roman" w:hAnsi="Rockwell" w:cs="Times New Roman"/>
          <w:sz w:val="32"/>
          <w:szCs w:val="32"/>
          <w:lang w:eastAsia="fr-FR"/>
        </w:rPr>
        <w:t xml:space="preserve"> car c’est une richesse qui a une valeur patrimoniale pour l’entreprise qui améliore le résultat. </w:t>
      </w:r>
    </w:p>
    <w:p w14:paraId="063092CA" w14:textId="77777777" w:rsidR="0087062C" w:rsidRPr="00EA5C9C" w:rsidRDefault="0087062C" w:rsidP="00003B08">
      <w:pPr>
        <w:jc w:val="both"/>
        <w:rPr>
          <w:rFonts w:ascii="Rockwell" w:eastAsia="Times New Roman" w:hAnsi="Rockwell" w:cs="Times New Roman"/>
          <w:sz w:val="32"/>
          <w:szCs w:val="32"/>
          <w:lang w:eastAsia="fr-FR"/>
        </w:rPr>
      </w:pPr>
    </w:p>
    <w:p w14:paraId="230E55BB" w14:textId="77777777" w:rsidR="006A3059" w:rsidRDefault="00003B08" w:rsidP="003D5083">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 xml:space="preserve">En sus de ce bénéfice brut d'exploitation, tous les revenus ou profits accessoires réalisés par une entreprise sont en principe imposables. Il s'agit notamment des revenus provenant de la location de biens </w:t>
      </w:r>
      <w:r w:rsidRPr="00003B08">
        <w:rPr>
          <w:rFonts w:ascii="Rockwell" w:eastAsia="Times New Roman" w:hAnsi="Rockwell" w:cs="Times New Roman"/>
          <w:sz w:val="32"/>
          <w:szCs w:val="32"/>
          <w:lang w:eastAsia="fr-FR"/>
        </w:rPr>
        <w:lastRenderedPageBreak/>
        <w:t xml:space="preserve">immobiliers, des intérêts de créances, dépôts, cautionnements et des revenus de valeurs mobilières. </w:t>
      </w:r>
    </w:p>
    <w:p w14:paraId="0E47D2D0" w14:textId="77777777" w:rsidR="006A3059" w:rsidRDefault="006A3059" w:rsidP="003D5083">
      <w:pPr>
        <w:jc w:val="both"/>
        <w:rPr>
          <w:rFonts w:ascii="Rockwell" w:eastAsia="Times New Roman" w:hAnsi="Rockwell" w:cs="Times New Roman"/>
          <w:sz w:val="32"/>
          <w:szCs w:val="32"/>
          <w:lang w:eastAsia="fr-FR"/>
        </w:rPr>
      </w:pPr>
    </w:p>
    <w:p w14:paraId="1CCDB12F" w14:textId="0CE9AE5F" w:rsidR="00EA3D41" w:rsidRDefault="00003B08" w:rsidP="003D5083">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Par exception, les sociétés mères françaises peuvent exclure de leur résultat imposable, à l'exception d'une quote-part de frais et charges égale à 5 % - 1 % pour les membres d’un groupe</w:t>
      </w:r>
      <w:r w:rsidR="006A3059">
        <w:rPr>
          <w:rFonts w:ascii="Rockwell" w:eastAsia="Times New Roman" w:hAnsi="Rockwell" w:cs="Times New Roman"/>
          <w:sz w:val="32"/>
          <w:szCs w:val="32"/>
          <w:lang w:eastAsia="fr-FR"/>
        </w:rPr>
        <w:t xml:space="preserve"> </w:t>
      </w:r>
      <w:r w:rsidRPr="00003B08">
        <w:rPr>
          <w:rFonts w:ascii="Rockwell" w:eastAsia="Times New Roman" w:hAnsi="Rockwell" w:cs="Times New Roman"/>
          <w:sz w:val="32"/>
          <w:szCs w:val="32"/>
          <w:lang w:eastAsia="fr-FR"/>
        </w:rPr>
        <w:t xml:space="preserve">- du montant total des produits de participations, crédits d'impôt étrangers compris, les dividendes distribués par leurs filiales françaises ou étrangères, dont elles détiennent au moins 5 % du capital social. </w:t>
      </w:r>
    </w:p>
    <w:p w14:paraId="7BD3284F" w14:textId="6EBE4892" w:rsidR="00D26665" w:rsidRDefault="00D26665" w:rsidP="003D5083">
      <w:pPr>
        <w:jc w:val="both"/>
        <w:rPr>
          <w:rFonts w:ascii="Rockwell" w:eastAsia="Times New Roman" w:hAnsi="Rockwell" w:cs="Times New Roman"/>
          <w:sz w:val="32"/>
          <w:szCs w:val="32"/>
          <w:lang w:eastAsia="fr-FR"/>
        </w:rPr>
      </w:pPr>
    </w:p>
    <w:p w14:paraId="2F344C1B" w14:textId="77777777" w:rsidR="00030433" w:rsidRDefault="00D26665" w:rsidP="003D5083">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 xml:space="preserve">Récapitulatif : </w:t>
      </w:r>
    </w:p>
    <w:p w14:paraId="14F2FC35" w14:textId="04587AAF" w:rsidR="00D26665" w:rsidRDefault="00030433" w:rsidP="003D5083">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bénéfice brut = ventes – (achats + stock initial – stock final).</w:t>
      </w:r>
    </w:p>
    <w:p w14:paraId="67DA0FF4" w14:textId="6EDA898C" w:rsidR="00EA3D41" w:rsidRDefault="00EA3D41" w:rsidP="003D5083">
      <w:pPr>
        <w:jc w:val="both"/>
        <w:rPr>
          <w:rFonts w:ascii="Rockwell" w:eastAsia="Times New Roman" w:hAnsi="Rockwell" w:cs="Times New Roman"/>
          <w:sz w:val="32"/>
          <w:szCs w:val="32"/>
          <w:lang w:eastAsia="fr-FR"/>
        </w:rPr>
      </w:pPr>
    </w:p>
    <w:p w14:paraId="50DBB220" w14:textId="77777777" w:rsidR="003E25A6" w:rsidRDefault="003E25A6" w:rsidP="003D5083">
      <w:pPr>
        <w:jc w:val="both"/>
        <w:rPr>
          <w:rFonts w:ascii="Rockwell" w:eastAsia="Times New Roman" w:hAnsi="Rockwell" w:cs="Times New Roman"/>
          <w:sz w:val="32"/>
          <w:szCs w:val="32"/>
          <w:lang w:eastAsia="fr-FR"/>
        </w:rPr>
      </w:pPr>
    </w:p>
    <w:p w14:paraId="442A65DD" w14:textId="77777777" w:rsidR="00892F3A" w:rsidRPr="00EC3476" w:rsidRDefault="00892F3A" w:rsidP="003D5083">
      <w:pPr>
        <w:jc w:val="both"/>
        <w:rPr>
          <w:rFonts w:ascii="Rockwell" w:eastAsia="Times New Roman" w:hAnsi="Rockwell" w:cs="Times New Roman"/>
          <w:sz w:val="32"/>
          <w:szCs w:val="32"/>
          <w:u w:val="single"/>
          <w:lang w:eastAsia="fr-FR"/>
        </w:rPr>
      </w:pPr>
      <w:r w:rsidRPr="00EC3476">
        <w:rPr>
          <w:rFonts w:ascii="Rockwell" w:eastAsia="Times New Roman" w:hAnsi="Rockwell" w:cs="Times New Roman"/>
          <w:sz w:val="32"/>
          <w:szCs w:val="32"/>
          <w:u w:val="single"/>
          <w:lang w:eastAsia="fr-FR"/>
        </w:rPr>
        <w:t>B/ La déduction des charges :</w:t>
      </w:r>
    </w:p>
    <w:p w14:paraId="5D6C1403" w14:textId="77777777" w:rsidR="00D11CA7" w:rsidRDefault="00D11CA7" w:rsidP="003D5083">
      <w:pPr>
        <w:jc w:val="both"/>
        <w:rPr>
          <w:rFonts w:ascii="Rockwell" w:eastAsia="Times New Roman" w:hAnsi="Rockwell" w:cs="Times New Roman"/>
          <w:sz w:val="32"/>
          <w:szCs w:val="32"/>
          <w:lang w:eastAsia="fr-FR"/>
        </w:rPr>
      </w:pPr>
    </w:p>
    <w:p w14:paraId="0D0785B4" w14:textId="74A0F1E0" w:rsidR="00D11CA7" w:rsidRDefault="00D11CA7" w:rsidP="003D5083">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 1 les conditions :</w:t>
      </w:r>
    </w:p>
    <w:p w14:paraId="63041019" w14:textId="5A4465F0" w:rsidR="00003B08" w:rsidRPr="00EA5C9C" w:rsidRDefault="00003B08" w:rsidP="003D5083">
      <w:pPr>
        <w:jc w:val="both"/>
        <w:rPr>
          <w:rFonts w:ascii="Rockwell" w:eastAsia="Times New Roman" w:hAnsi="Rockwell" w:cs="Times New Roman"/>
          <w:sz w:val="32"/>
          <w:szCs w:val="32"/>
          <w:lang w:eastAsia="fr-FR"/>
        </w:rPr>
      </w:pPr>
      <w:r w:rsidRPr="00003B08">
        <w:rPr>
          <w:rFonts w:ascii="Rockwell" w:eastAsia="Times New Roman" w:hAnsi="Rockwell" w:cs="Times New Roman"/>
          <w:sz w:val="32"/>
          <w:szCs w:val="32"/>
          <w:lang w:eastAsia="fr-FR"/>
        </w:rPr>
        <w:t>Les frais et charges sont déductibles sous les conditions suivantes</w:t>
      </w:r>
      <w:r w:rsidR="00892F3A">
        <w:rPr>
          <w:rFonts w:ascii="Rockwell" w:eastAsia="Times New Roman" w:hAnsi="Rockwell" w:cs="Times New Roman"/>
          <w:sz w:val="32"/>
          <w:szCs w:val="32"/>
          <w:lang w:eastAsia="fr-FR"/>
        </w:rPr>
        <w:t xml:space="preserve"> fixées par le CGI article 39</w:t>
      </w:r>
      <w:r w:rsidRPr="00003B08">
        <w:rPr>
          <w:rFonts w:ascii="Rockwell" w:eastAsia="Times New Roman" w:hAnsi="Rockwell" w:cs="Times New Roman"/>
          <w:sz w:val="32"/>
          <w:szCs w:val="32"/>
          <w:lang w:eastAsia="fr-FR"/>
        </w:rPr>
        <w:t xml:space="preserve"> : </w:t>
      </w:r>
    </w:p>
    <w:p w14:paraId="194003F0" w14:textId="77777777" w:rsidR="00003B08" w:rsidRPr="00EA5C9C" w:rsidRDefault="00003B08" w:rsidP="003D5083">
      <w:pPr>
        <w:jc w:val="both"/>
        <w:rPr>
          <w:rFonts w:ascii="Rockwell" w:eastAsia="Times New Roman" w:hAnsi="Rockwell" w:cs="Times New Roman"/>
          <w:sz w:val="32"/>
          <w:szCs w:val="32"/>
          <w:lang w:eastAsia="fr-FR"/>
        </w:rPr>
      </w:pPr>
    </w:p>
    <w:p w14:paraId="11BAB0F4" w14:textId="04183E0D" w:rsidR="00003B08" w:rsidRPr="00EA5C9C" w:rsidRDefault="00003B08" w:rsidP="003D5083">
      <w:pPr>
        <w:jc w:val="both"/>
        <w:rPr>
          <w:rFonts w:ascii="Rockwell" w:eastAsia="Times New Roman" w:hAnsi="Rockwell" w:cs="Times New Roman"/>
          <w:sz w:val="32"/>
          <w:szCs w:val="32"/>
          <w:u w:val="single"/>
          <w:lang w:eastAsia="fr-FR"/>
        </w:rPr>
      </w:pPr>
      <w:r w:rsidRPr="00003B08">
        <w:rPr>
          <w:rFonts w:ascii="Rockwell" w:eastAsia="Times New Roman" w:hAnsi="Rockwell" w:cs="Times New Roman"/>
          <w:sz w:val="32"/>
          <w:szCs w:val="32"/>
          <w:lang w:eastAsia="fr-FR"/>
        </w:rPr>
        <w:t xml:space="preserve">• ils doivent être exposés </w:t>
      </w:r>
      <w:r w:rsidRPr="00003B08">
        <w:rPr>
          <w:rFonts w:ascii="Rockwell" w:eastAsia="Times New Roman" w:hAnsi="Rockwell" w:cs="Times New Roman"/>
          <w:sz w:val="32"/>
          <w:szCs w:val="32"/>
          <w:u w:val="single"/>
          <w:lang w:eastAsia="fr-FR"/>
        </w:rPr>
        <w:t>dans l'intérêt direct de l'exploitation</w:t>
      </w:r>
      <w:r w:rsidRPr="00003B08">
        <w:rPr>
          <w:rFonts w:ascii="Rockwell" w:eastAsia="Times New Roman" w:hAnsi="Rockwell" w:cs="Times New Roman"/>
          <w:sz w:val="32"/>
          <w:szCs w:val="32"/>
          <w:lang w:eastAsia="fr-FR"/>
        </w:rPr>
        <w:t xml:space="preserve"> et se rattacher à la </w:t>
      </w:r>
      <w:r w:rsidRPr="00003B08">
        <w:rPr>
          <w:rFonts w:ascii="Rockwell" w:eastAsia="Times New Roman" w:hAnsi="Rockwell" w:cs="Times New Roman"/>
          <w:sz w:val="32"/>
          <w:szCs w:val="32"/>
          <w:u w:val="single"/>
          <w:lang w:eastAsia="fr-FR"/>
        </w:rPr>
        <w:t xml:space="preserve">gestion normale </w:t>
      </w:r>
    </w:p>
    <w:p w14:paraId="49FFCA89" w14:textId="77777777" w:rsidR="00A0002A" w:rsidRPr="00EA5C9C" w:rsidRDefault="00A0002A" w:rsidP="003D5083">
      <w:pPr>
        <w:jc w:val="both"/>
        <w:rPr>
          <w:rFonts w:ascii="Rockwell" w:eastAsia="Times New Roman" w:hAnsi="Rockwell" w:cs="Times New Roman"/>
          <w:sz w:val="32"/>
          <w:szCs w:val="32"/>
          <w:lang w:eastAsia="fr-FR"/>
        </w:rPr>
      </w:pPr>
      <w:r w:rsidRPr="00A0002A">
        <w:rPr>
          <w:rFonts w:ascii="Rockwell" w:eastAsia="Times New Roman" w:hAnsi="Rockwell" w:cs="Times New Roman"/>
          <w:sz w:val="32"/>
          <w:szCs w:val="32"/>
          <w:u w:val="single"/>
          <w:lang w:eastAsia="fr-FR"/>
        </w:rPr>
        <w:t>de l'entreprise</w:t>
      </w:r>
      <w:r w:rsidRPr="00A0002A">
        <w:rPr>
          <w:rFonts w:ascii="Rockwell" w:eastAsia="Times New Roman" w:hAnsi="Rockwell" w:cs="Times New Roman"/>
          <w:sz w:val="32"/>
          <w:szCs w:val="32"/>
          <w:lang w:eastAsia="fr-FR"/>
        </w:rPr>
        <w:t xml:space="preserve"> ; </w:t>
      </w:r>
    </w:p>
    <w:p w14:paraId="09F7CD5A" w14:textId="77777777" w:rsidR="00A0002A" w:rsidRPr="00EA5C9C" w:rsidRDefault="00A0002A" w:rsidP="003D5083">
      <w:pPr>
        <w:jc w:val="both"/>
        <w:rPr>
          <w:rFonts w:ascii="Rockwell" w:eastAsia="Times New Roman" w:hAnsi="Rockwell" w:cs="Times New Roman"/>
          <w:sz w:val="32"/>
          <w:szCs w:val="32"/>
          <w:lang w:eastAsia="fr-FR"/>
        </w:rPr>
      </w:pPr>
      <w:r w:rsidRPr="00A0002A">
        <w:rPr>
          <w:rFonts w:ascii="Rockwell" w:eastAsia="Times New Roman" w:hAnsi="Rockwell" w:cs="Times New Roman"/>
          <w:sz w:val="32"/>
          <w:szCs w:val="32"/>
          <w:lang w:eastAsia="fr-FR"/>
        </w:rPr>
        <w:t xml:space="preserve">• ils doivent correspondre à une </w:t>
      </w:r>
      <w:r w:rsidRPr="00A0002A">
        <w:rPr>
          <w:rFonts w:ascii="Rockwell" w:eastAsia="Times New Roman" w:hAnsi="Rockwell" w:cs="Times New Roman"/>
          <w:sz w:val="32"/>
          <w:szCs w:val="32"/>
          <w:u w:val="single"/>
          <w:lang w:eastAsia="fr-FR"/>
        </w:rPr>
        <w:t>charge effective</w:t>
      </w:r>
      <w:r w:rsidRPr="00A0002A">
        <w:rPr>
          <w:rFonts w:ascii="Rockwell" w:eastAsia="Times New Roman" w:hAnsi="Rockwell" w:cs="Times New Roman"/>
          <w:sz w:val="32"/>
          <w:szCs w:val="32"/>
          <w:lang w:eastAsia="fr-FR"/>
        </w:rPr>
        <w:t xml:space="preserve"> et être appuyés de </w:t>
      </w:r>
      <w:r w:rsidRPr="00A0002A">
        <w:rPr>
          <w:rFonts w:ascii="Rockwell" w:eastAsia="Times New Roman" w:hAnsi="Rockwell" w:cs="Times New Roman"/>
          <w:sz w:val="32"/>
          <w:szCs w:val="32"/>
          <w:u w:val="single"/>
          <w:lang w:eastAsia="fr-FR"/>
        </w:rPr>
        <w:t>justifications suffisantes</w:t>
      </w:r>
      <w:r w:rsidRPr="00A0002A">
        <w:rPr>
          <w:rFonts w:ascii="Rockwell" w:eastAsia="Times New Roman" w:hAnsi="Rockwell" w:cs="Times New Roman"/>
          <w:sz w:val="32"/>
          <w:szCs w:val="32"/>
          <w:lang w:eastAsia="fr-FR"/>
        </w:rPr>
        <w:t xml:space="preserve"> ; </w:t>
      </w:r>
    </w:p>
    <w:p w14:paraId="12BBE82F" w14:textId="01CF54E0" w:rsidR="00A0002A" w:rsidRPr="00EA5C9C" w:rsidRDefault="00A0002A" w:rsidP="003D5083">
      <w:pPr>
        <w:jc w:val="both"/>
        <w:rPr>
          <w:rFonts w:ascii="Rockwell" w:eastAsia="Times New Roman" w:hAnsi="Rockwell" w:cs="Times New Roman"/>
          <w:sz w:val="32"/>
          <w:szCs w:val="32"/>
          <w:lang w:eastAsia="fr-FR"/>
        </w:rPr>
      </w:pPr>
      <w:r w:rsidRPr="00A0002A">
        <w:rPr>
          <w:rFonts w:ascii="Rockwell" w:eastAsia="Times New Roman" w:hAnsi="Rockwell" w:cs="Times New Roman"/>
          <w:sz w:val="32"/>
          <w:szCs w:val="32"/>
          <w:lang w:eastAsia="fr-FR"/>
        </w:rPr>
        <w:t xml:space="preserve">• ils doivent être </w:t>
      </w:r>
      <w:r w:rsidRPr="00A0002A">
        <w:rPr>
          <w:rFonts w:ascii="Rockwell" w:eastAsia="Times New Roman" w:hAnsi="Rockwell" w:cs="Times New Roman"/>
          <w:sz w:val="32"/>
          <w:szCs w:val="32"/>
          <w:u w:val="single"/>
          <w:lang w:eastAsia="fr-FR"/>
        </w:rPr>
        <w:t>compris dans les charges de l'exercice</w:t>
      </w:r>
      <w:r w:rsidRPr="00A0002A">
        <w:rPr>
          <w:rFonts w:ascii="Rockwell" w:eastAsia="Times New Roman" w:hAnsi="Rockwell" w:cs="Times New Roman"/>
          <w:sz w:val="32"/>
          <w:szCs w:val="32"/>
          <w:lang w:eastAsia="fr-FR"/>
        </w:rPr>
        <w:t xml:space="preserve"> au cours duquel ils ont été engagés et se traduire par une </w:t>
      </w:r>
      <w:r w:rsidRPr="00A0002A">
        <w:rPr>
          <w:rFonts w:ascii="Rockwell" w:eastAsia="Times New Roman" w:hAnsi="Rockwell" w:cs="Times New Roman"/>
          <w:sz w:val="32"/>
          <w:szCs w:val="32"/>
          <w:u w:val="single"/>
          <w:lang w:eastAsia="fr-FR"/>
        </w:rPr>
        <w:t>diminution de l'actif net</w:t>
      </w:r>
      <w:r w:rsidRPr="00A0002A">
        <w:rPr>
          <w:rFonts w:ascii="Rockwell" w:eastAsia="Times New Roman" w:hAnsi="Rockwell" w:cs="Times New Roman"/>
          <w:sz w:val="32"/>
          <w:szCs w:val="32"/>
          <w:lang w:eastAsia="fr-FR"/>
        </w:rPr>
        <w:t xml:space="preserve"> de l'entreprise ; </w:t>
      </w:r>
    </w:p>
    <w:p w14:paraId="67759F57" w14:textId="77777777" w:rsidR="00A0002A" w:rsidRPr="00EA5C9C" w:rsidRDefault="00A0002A" w:rsidP="003D5083">
      <w:pPr>
        <w:jc w:val="both"/>
        <w:rPr>
          <w:rFonts w:ascii="Rockwell" w:eastAsia="Times New Roman" w:hAnsi="Rockwell" w:cs="Times New Roman"/>
          <w:sz w:val="32"/>
          <w:szCs w:val="32"/>
          <w:lang w:eastAsia="fr-FR"/>
        </w:rPr>
      </w:pPr>
      <w:r w:rsidRPr="00A0002A">
        <w:rPr>
          <w:rFonts w:ascii="Rockwell" w:eastAsia="Times New Roman" w:hAnsi="Rockwell" w:cs="Times New Roman"/>
          <w:sz w:val="32"/>
          <w:szCs w:val="32"/>
          <w:lang w:eastAsia="fr-FR"/>
        </w:rPr>
        <w:t xml:space="preserve">• leur déductibilité </w:t>
      </w:r>
      <w:r w:rsidRPr="00A0002A">
        <w:rPr>
          <w:rFonts w:ascii="Rockwell" w:eastAsia="Times New Roman" w:hAnsi="Rockwell" w:cs="Times New Roman"/>
          <w:sz w:val="32"/>
          <w:szCs w:val="32"/>
          <w:u w:val="single"/>
          <w:lang w:eastAsia="fr-FR"/>
        </w:rPr>
        <w:t>ne doit pas être remise en cause par une disposition particulière de la loi</w:t>
      </w:r>
      <w:r w:rsidRPr="00A0002A">
        <w:rPr>
          <w:rFonts w:ascii="Rockwell" w:eastAsia="Times New Roman" w:hAnsi="Rockwell" w:cs="Times New Roman"/>
          <w:sz w:val="32"/>
          <w:szCs w:val="32"/>
          <w:lang w:eastAsia="fr-FR"/>
        </w:rPr>
        <w:t xml:space="preserve"> : </w:t>
      </w:r>
    </w:p>
    <w:p w14:paraId="01F946CB" w14:textId="390D31E9" w:rsidR="00A0002A" w:rsidRPr="00EA5C9C" w:rsidRDefault="00A0002A" w:rsidP="003D5083">
      <w:pPr>
        <w:jc w:val="both"/>
        <w:rPr>
          <w:rFonts w:ascii="Rockwell" w:eastAsia="Times New Roman" w:hAnsi="Rockwell" w:cs="Times New Roman"/>
          <w:sz w:val="32"/>
          <w:szCs w:val="32"/>
          <w:lang w:eastAsia="fr-FR"/>
        </w:rPr>
      </w:pPr>
      <w:r w:rsidRPr="00A0002A">
        <w:rPr>
          <w:rFonts w:ascii="Rockwell" w:eastAsia="Times New Roman" w:hAnsi="Rockwell" w:cs="Times New Roman"/>
          <w:sz w:val="32"/>
          <w:szCs w:val="32"/>
          <w:lang w:eastAsia="fr-FR"/>
        </w:rPr>
        <w:t xml:space="preserve">- certaines dépenses sont ainsi expressément exclues des charges déductibles </w:t>
      </w:r>
      <w:r w:rsidRPr="00A0002A">
        <w:rPr>
          <w:rFonts w:ascii="Rockwell" w:eastAsia="Times New Roman" w:hAnsi="Rockwell" w:cs="Times New Roman"/>
          <w:sz w:val="32"/>
          <w:szCs w:val="32"/>
          <w:u w:val="single"/>
          <w:lang w:eastAsia="fr-FR"/>
        </w:rPr>
        <w:t xml:space="preserve">lorsqu'elles ne correspondent pas à l'objet de </w:t>
      </w:r>
      <w:r w:rsidRPr="00A0002A">
        <w:rPr>
          <w:rFonts w:ascii="Rockwell" w:eastAsia="Times New Roman" w:hAnsi="Rockwell" w:cs="Times New Roman"/>
          <w:sz w:val="32"/>
          <w:szCs w:val="32"/>
          <w:lang w:eastAsia="fr-FR"/>
        </w:rPr>
        <w:t xml:space="preserve">l'entreprise : dépenses ayant trait à la chasse ou à la pêche, dépenses engagées en vue de la disposition de yachts ou de bateaux de plaisance (dépenses qualifiées de somptuaires) ; </w:t>
      </w:r>
      <w:r w:rsidR="00030433">
        <w:rPr>
          <w:rFonts w:ascii="Rockwell" w:eastAsia="Times New Roman" w:hAnsi="Rockwell" w:cs="Times New Roman"/>
          <w:sz w:val="32"/>
          <w:szCs w:val="32"/>
          <w:lang w:eastAsia="fr-FR"/>
        </w:rPr>
        <w:t>pots de vin OCDE et sanctions pécuniaires.</w:t>
      </w:r>
    </w:p>
    <w:p w14:paraId="2D0DB46C" w14:textId="77777777" w:rsidR="00A0002A" w:rsidRPr="00EA5C9C" w:rsidRDefault="00A0002A" w:rsidP="003D5083">
      <w:pPr>
        <w:jc w:val="both"/>
        <w:rPr>
          <w:rFonts w:ascii="Rockwell" w:eastAsia="Times New Roman" w:hAnsi="Rockwell" w:cs="Times New Roman"/>
          <w:sz w:val="32"/>
          <w:szCs w:val="32"/>
          <w:lang w:eastAsia="fr-FR"/>
        </w:rPr>
      </w:pPr>
      <w:r w:rsidRPr="00A0002A">
        <w:rPr>
          <w:rFonts w:ascii="Rockwell" w:eastAsia="Times New Roman" w:hAnsi="Rockwell" w:cs="Times New Roman"/>
          <w:sz w:val="32"/>
          <w:szCs w:val="32"/>
          <w:lang w:eastAsia="fr-FR"/>
        </w:rPr>
        <w:t xml:space="preserve">- sont également exclues des charges déductibles, </w:t>
      </w:r>
      <w:r w:rsidRPr="00A0002A">
        <w:rPr>
          <w:rFonts w:ascii="Rockwell" w:eastAsia="Times New Roman" w:hAnsi="Rockwell" w:cs="Times New Roman"/>
          <w:sz w:val="32"/>
          <w:szCs w:val="32"/>
          <w:u w:val="single"/>
          <w:lang w:eastAsia="fr-FR"/>
        </w:rPr>
        <w:t>les aides de toute nature accordées à une autre entreprise</w:t>
      </w:r>
      <w:r w:rsidRPr="00A0002A">
        <w:rPr>
          <w:rFonts w:ascii="Rockwell" w:eastAsia="Times New Roman" w:hAnsi="Rockwell" w:cs="Times New Roman"/>
          <w:sz w:val="32"/>
          <w:szCs w:val="32"/>
          <w:lang w:eastAsia="fr-FR"/>
        </w:rPr>
        <w:t xml:space="preserve"> si elles ne revêtent pas un caractère commercial. Par exception, ces aides demeurent </w:t>
      </w:r>
      <w:r w:rsidRPr="00A0002A">
        <w:rPr>
          <w:rFonts w:ascii="Rockwell" w:eastAsia="Times New Roman" w:hAnsi="Rockwell" w:cs="Times New Roman"/>
          <w:sz w:val="32"/>
          <w:szCs w:val="32"/>
          <w:lang w:eastAsia="fr-FR"/>
        </w:rPr>
        <w:lastRenderedPageBreak/>
        <w:t xml:space="preserve">déductibles, sous certaines limites, lorsqu’elles sont consenties à des entreprises faisant l’objet d’une procédure collective ou de conciliation ; </w:t>
      </w:r>
    </w:p>
    <w:p w14:paraId="56C06D37" w14:textId="3CF6989E" w:rsidR="003D5083" w:rsidRDefault="003D5083" w:rsidP="00D11CA7">
      <w:pPr>
        <w:jc w:val="both"/>
        <w:rPr>
          <w:rFonts w:ascii="Rockwell" w:eastAsia="Times New Roman" w:hAnsi="Rockwell" w:cs="Times New Roman"/>
          <w:sz w:val="32"/>
          <w:szCs w:val="32"/>
          <w:lang w:eastAsia="fr-FR"/>
        </w:rPr>
      </w:pPr>
    </w:p>
    <w:p w14:paraId="79F5403B" w14:textId="50AE1BAE" w:rsidR="00D11CA7" w:rsidRDefault="00D11CA7" w:rsidP="003D5083">
      <w:pPr>
        <w:jc w:val="both"/>
        <w:rPr>
          <w:rFonts w:ascii="Rockwell" w:eastAsia="Times New Roman" w:hAnsi="Rockwell" w:cs="Times New Roman"/>
          <w:sz w:val="32"/>
          <w:szCs w:val="32"/>
          <w:lang w:eastAsia="fr-FR"/>
        </w:rPr>
      </w:pPr>
    </w:p>
    <w:p w14:paraId="4268D2FA" w14:textId="4ABE9174" w:rsidR="00D11CA7" w:rsidRDefault="00D11CA7" w:rsidP="003D5083">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§2 La liste des charges déductibles :</w:t>
      </w:r>
      <w:r w:rsidR="00030433">
        <w:rPr>
          <w:rFonts w:ascii="Rockwell" w:eastAsia="Times New Roman" w:hAnsi="Rockwell" w:cs="Times New Roman"/>
          <w:sz w:val="32"/>
          <w:szCs w:val="32"/>
          <w:lang w:eastAsia="fr-FR"/>
        </w:rPr>
        <w:t xml:space="preserve"> art 39-1 du CGI</w:t>
      </w:r>
    </w:p>
    <w:p w14:paraId="2EB21874" w14:textId="0160EA18" w:rsidR="00D11CA7" w:rsidRDefault="00D11CA7" w:rsidP="003D5083">
      <w:pPr>
        <w:jc w:val="both"/>
        <w:rPr>
          <w:rFonts w:ascii="Rockwell" w:eastAsia="Times New Roman" w:hAnsi="Rockwell" w:cs="Times New Roman"/>
          <w:sz w:val="32"/>
          <w:szCs w:val="32"/>
          <w:lang w:eastAsia="fr-FR"/>
        </w:rPr>
      </w:pPr>
    </w:p>
    <w:p w14:paraId="7E0146EC" w14:textId="3E00712F" w:rsidR="00D11CA7" w:rsidRDefault="00D11CA7" w:rsidP="00D11CA7">
      <w:pPr>
        <w:pStyle w:val="Pardeliste"/>
        <w:numPr>
          <w:ilvl w:val="0"/>
          <w:numId w:val="5"/>
        </w:num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Les charges d’exploitation : achats de matières premières et autres, traitements et salaires, frais de fonctionnement courant, impôts et taxes, dépenses d’entretien.</w:t>
      </w:r>
      <w:r w:rsidR="00030433">
        <w:rPr>
          <w:rFonts w:ascii="Rockwell" w:eastAsia="Times New Roman" w:hAnsi="Rockwell" w:cs="Times New Roman"/>
          <w:sz w:val="32"/>
          <w:szCs w:val="32"/>
          <w:lang w:eastAsia="fr-FR"/>
        </w:rPr>
        <w:t xml:space="preserve"> La doctrine y a ajouté les biens d’une valeur inférieure à 500 €</w:t>
      </w:r>
    </w:p>
    <w:p w14:paraId="0061BED3" w14:textId="7334AB13" w:rsidR="00D11CA7" w:rsidRPr="00D11CA7" w:rsidRDefault="00D11CA7" w:rsidP="00D11CA7">
      <w:pPr>
        <w:pStyle w:val="Pardeliste"/>
        <w:numPr>
          <w:ilvl w:val="0"/>
          <w:numId w:val="5"/>
        </w:numPr>
        <w:jc w:val="both"/>
        <w:rPr>
          <w:rFonts w:ascii="Rockwell" w:eastAsia="Times New Roman" w:hAnsi="Rockwell" w:cs="Times New Roman"/>
          <w:sz w:val="32"/>
          <w:szCs w:val="32"/>
          <w:lang w:eastAsia="fr-FR"/>
        </w:rPr>
      </w:pPr>
      <w:r w:rsidRPr="00D11CA7">
        <w:rPr>
          <w:rFonts w:ascii="Rockwell" w:eastAsia="Times New Roman" w:hAnsi="Rockwell" w:cs="Times New Roman"/>
          <w:sz w:val="32"/>
          <w:szCs w:val="32"/>
          <w:lang w:eastAsia="fr-FR"/>
        </w:rPr>
        <w:t xml:space="preserve">Les charges financières : la déductibilité des </w:t>
      </w:r>
      <w:r w:rsidRPr="00D11CA7">
        <w:rPr>
          <w:rFonts w:ascii="Rockwell" w:eastAsia="Times New Roman" w:hAnsi="Rockwell" w:cs="Times New Roman"/>
          <w:sz w:val="32"/>
          <w:szCs w:val="32"/>
          <w:u w:val="single"/>
          <w:lang w:eastAsia="fr-FR"/>
        </w:rPr>
        <w:t>intérêts d’emprunts</w:t>
      </w:r>
      <w:r w:rsidRPr="00D11CA7">
        <w:rPr>
          <w:rFonts w:ascii="Rockwell" w:eastAsia="Times New Roman" w:hAnsi="Rockwell" w:cs="Times New Roman"/>
          <w:sz w:val="32"/>
          <w:szCs w:val="32"/>
          <w:lang w:eastAsia="fr-FR"/>
        </w:rPr>
        <w:t xml:space="preserve"> est encadrée et fait l’objet de mesures anti-abus</w:t>
      </w:r>
      <w:r w:rsidR="008B4E51">
        <w:rPr>
          <w:rFonts w:ascii="Rockwell" w:eastAsia="Times New Roman" w:hAnsi="Rockwell" w:cs="Times New Roman"/>
          <w:sz w:val="32"/>
          <w:szCs w:val="32"/>
          <w:lang w:eastAsia="fr-FR"/>
        </w:rPr>
        <w:t xml:space="preserve"> depuis 2014</w:t>
      </w:r>
      <w:r w:rsidRPr="00D11CA7">
        <w:rPr>
          <w:rFonts w:ascii="Rockwell" w:eastAsia="Times New Roman" w:hAnsi="Rockwell" w:cs="Times New Roman"/>
          <w:sz w:val="32"/>
          <w:szCs w:val="32"/>
          <w:lang w:eastAsia="fr-FR"/>
        </w:rPr>
        <w:t xml:space="preserve"> : plafond général de déductibilité des charges financières nettes égal à </w:t>
      </w:r>
      <w:r w:rsidRPr="00D11CA7">
        <w:rPr>
          <w:rFonts w:ascii="Rockwell" w:eastAsia="Times New Roman" w:hAnsi="Rockwell" w:cs="Times New Roman"/>
          <w:sz w:val="32"/>
          <w:szCs w:val="32"/>
          <w:u w:val="single"/>
          <w:lang w:eastAsia="fr-FR"/>
        </w:rPr>
        <w:t>75 %</w:t>
      </w:r>
      <w:r w:rsidRPr="00D11CA7">
        <w:rPr>
          <w:rFonts w:ascii="Rockwell" w:eastAsia="Times New Roman" w:hAnsi="Rockwell" w:cs="Times New Roman"/>
          <w:sz w:val="32"/>
          <w:szCs w:val="32"/>
          <w:lang w:eastAsia="fr-FR"/>
        </w:rPr>
        <w:t xml:space="preserve"> pour les exercices ouverts à compter du 1er janvier 2014, avec un seuil de déclenchement fixé à 3 M€ ; dispositifs de </w:t>
      </w:r>
      <w:r w:rsidRPr="00D11CA7">
        <w:rPr>
          <w:rFonts w:ascii="Rockwell" w:eastAsia="Times New Roman" w:hAnsi="Rockwell" w:cs="Times New Roman"/>
          <w:sz w:val="32"/>
          <w:szCs w:val="32"/>
          <w:u w:val="single"/>
          <w:lang w:eastAsia="fr-FR"/>
        </w:rPr>
        <w:t>limitation de la déduction des charges financières</w:t>
      </w:r>
      <w:r w:rsidRPr="00D11CA7">
        <w:rPr>
          <w:rFonts w:ascii="Rockwell" w:eastAsia="Times New Roman" w:hAnsi="Rockwell" w:cs="Times New Roman"/>
          <w:sz w:val="32"/>
          <w:szCs w:val="32"/>
          <w:lang w:eastAsia="fr-FR"/>
        </w:rPr>
        <w:t xml:space="preserve"> entre entreprises liées. </w:t>
      </w:r>
    </w:p>
    <w:p w14:paraId="20704A59" w14:textId="008973D0" w:rsidR="00D11CA7" w:rsidRDefault="00A7342D" w:rsidP="00D11CA7">
      <w:pPr>
        <w:pStyle w:val="Pardeliste"/>
        <w:numPr>
          <w:ilvl w:val="0"/>
          <w:numId w:val="5"/>
        </w:num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 xml:space="preserve">Les amortissements et les provisions </w:t>
      </w:r>
    </w:p>
    <w:p w14:paraId="342CA823" w14:textId="7EDC51BD" w:rsidR="00A7342D" w:rsidRDefault="00A7342D" w:rsidP="00A7342D">
      <w:pPr>
        <w:jc w:val="both"/>
        <w:rPr>
          <w:rFonts w:ascii="Rockwell" w:eastAsia="Times New Roman" w:hAnsi="Rockwell" w:cs="Times New Roman"/>
          <w:sz w:val="32"/>
          <w:szCs w:val="32"/>
          <w:lang w:eastAsia="fr-FR"/>
        </w:rPr>
      </w:pPr>
    </w:p>
    <w:p w14:paraId="6538C242" w14:textId="38CC9B80" w:rsidR="00A7342D" w:rsidRPr="00EC3476" w:rsidRDefault="00EC3476" w:rsidP="00A7342D">
      <w:pPr>
        <w:jc w:val="both"/>
        <w:rPr>
          <w:rFonts w:ascii="Rockwell" w:eastAsia="Times New Roman" w:hAnsi="Rockwell" w:cs="Times New Roman"/>
          <w:sz w:val="32"/>
          <w:szCs w:val="32"/>
          <w:u w:val="single"/>
          <w:lang w:eastAsia="fr-FR"/>
        </w:rPr>
      </w:pPr>
      <w:r w:rsidRPr="00EC3476">
        <w:rPr>
          <w:rFonts w:ascii="Rockwell" w:eastAsia="Times New Roman" w:hAnsi="Rockwell" w:cs="Times New Roman"/>
          <w:sz w:val="32"/>
          <w:szCs w:val="32"/>
          <w:u w:val="single"/>
          <w:lang w:eastAsia="fr-FR"/>
        </w:rPr>
        <w:t>C/</w:t>
      </w:r>
      <w:r w:rsidR="00A7342D" w:rsidRPr="00EC3476">
        <w:rPr>
          <w:rFonts w:ascii="Rockwell" w:eastAsia="Times New Roman" w:hAnsi="Rockwell" w:cs="Times New Roman"/>
          <w:sz w:val="32"/>
          <w:szCs w:val="32"/>
          <w:u w:val="single"/>
          <w:lang w:eastAsia="fr-FR"/>
        </w:rPr>
        <w:t xml:space="preserve"> Le calcul d</w:t>
      </w:r>
      <w:r w:rsidR="00D6783A">
        <w:rPr>
          <w:rFonts w:ascii="Rockwell" w:eastAsia="Times New Roman" w:hAnsi="Rockwell" w:cs="Times New Roman"/>
          <w:sz w:val="32"/>
          <w:szCs w:val="32"/>
          <w:u w:val="single"/>
          <w:lang w:eastAsia="fr-FR"/>
        </w:rPr>
        <w:t>es plus-values :</w:t>
      </w:r>
    </w:p>
    <w:p w14:paraId="5B85E24C" w14:textId="2AD99C65" w:rsidR="00A06E11" w:rsidRDefault="00A06E11" w:rsidP="00A7342D">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Qu’est-ce qu’une plus-value professionnelle ?</w:t>
      </w:r>
    </w:p>
    <w:p w14:paraId="795189A8" w14:textId="310B362C" w:rsidR="00A06E11" w:rsidRDefault="00A06E11" w:rsidP="00A7342D">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 xml:space="preserve">C’est lorsqu’une entreprise vend une immobilisation (qui sort de l’actif de la société) à un prix plus élevé que le prix d’acquisition. Pour calculer cette plus-value, il faut être exact et retrancher les amortissements. </w:t>
      </w:r>
      <w:r w:rsidR="00D6783A">
        <w:rPr>
          <w:rFonts w:ascii="Rockwell" w:eastAsia="Times New Roman" w:hAnsi="Rockwell" w:cs="Times New Roman"/>
          <w:sz w:val="32"/>
          <w:szCs w:val="32"/>
          <w:lang w:eastAsia="fr-FR"/>
        </w:rPr>
        <w:t xml:space="preserve">S’il y a plus-value, elle devra être imposée. </w:t>
      </w:r>
      <w:r>
        <w:rPr>
          <w:rFonts w:ascii="Rockwell" w:eastAsia="Times New Roman" w:hAnsi="Rockwell" w:cs="Times New Roman"/>
          <w:sz w:val="32"/>
          <w:szCs w:val="32"/>
          <w:lang w:eastAsia="fr-FR"/>
        </w:rPr>
        <w:t>Le CGI distingue les plus-values de court terme et de long terme car le long terme signifie taux bas alors que la plus-value de court terme suit le calcul des bénéfices d’exploitation</w:t>
      </w:r>
      <w:r w:rsidR="003C0BCB">
        <w:rPr>
          <w:rFonts w:ascii="Rockwell" w:eastAsia="Times New Roman" w:hAnsi="Rockwell" w:cs="Times New Roman"/>
          <w:sz w:val="32"/>
          <w:szCs w:val="32"/>
          <w:lang w:eastAsia="fr-FR"/>
        </w:rPr>
        <w:t xml:space="preserve"> (taux normal)</w:t>
      </w:r>
      <w:r>
        <w:rPr>
          <w:rFonts w:ascii="Rockwell" w:eastAsia="Times New Roman" w:hAnsi="Rockwell" w:cs="Times New Roman"/>
          <w:sz w:val="32"/>
          <w:szCs w:val="32"/>
          <w:lang w:eastAsia="fr-FR"/>
        </w:rPr>
        <w:t>. La durée est plus ou moins 2 ans.</w:t>
      </w:r>
      <w:r w:rsidR="00D6783A">
        <w:rPr>
          <w:rFonts w:ascii="Rockwell" w:eastAsia="Times New Roman" w:hAnsi="Rockwell" w:cs="Times New Roman"/>
          <w:sz w:val="32"/>
          <w:szCs w:val="32"/>
          <w:lang w:eastAsia="fr-FR"/>
        </w:rPr>
        <w:t xml:space="preserve"> Attention, si un bien amortissable est vendu plus de 2 ans après son acquisition à un prix inférieur </w:t>
      </w:r>
      <w:r w:rsidR="00EC15C8">
        <w:rPr>
          <w:rFonts w:ascii="Rockwell" w:eastAsia="Times New Roman" w:hAnsi="Rockwell" w:cs="Times New Roman"/>
          <w:sz w:val="32"/>
          <w:szCs w:val="32"/>
          <w:lang w:eastAsia="fr-FR"/>
        </w:rPr>
        <w:t xml:space="preserve">au montant des amortissements, </w:t>
      </w:r>
      <w:r w:rsidR="00D6783A">
        <w:rPr>
          <w:rFonts w:ascii="Rockwell" w:eastAsia="Times New Roman" w:hAnsi="Rockwell" w:cs="Times New Roman"/>
          <w:sz w:val="32"/>
          <w:szCs w:val="32"/>
          <w:lang w:eastAsia="fr-FR"/>
        </w:rPr>
        <w:t xml:space="preserve">il pourra être assimilé </w:t>
      </w:r>
      <w:r w:rsidR="00EC15C8">
        <w:rPr>
          <w:rFonts w:ascii="Rockwell" w:eastAsia="Times New Roman" w:hAnsi="Rockwell" w:cs="Times New Roman"/>
          <w:sz w:val="32"/>
          <w:szCs w:val="32"/>
          <w:lang w:eastAsia="fr-FR"/>
        </w:rPr>
        <w:t>à une plus-value à court terme. Dans le cas contraire, il sera assimilé à une plus-value à long terme pour la valeur dépassant le niveau des amortissements.</w:t>
      </w:r>
    </w:p>
    <w:p w14:paraId="357D9C20" w14:textId="77777777" w:rsidR="00A06E11" w:rsidRPr="00A7342D" w:rsidRDefault="00A06E11" w:rsidP="00A7342D">
      <w:pPr>
        <w:jc w:val="both"/>
        <w:rPr>
          <w:rFonts w:ascii="Rockwell" w:eastAsia="Times New Roman" w:hAnsi="Rockwell" w:cs="Times New Roman"/>
          <w:sz w:val="32"/>
          <w:szCs w:val="32"/>
          <w:lang w:eastAsia="fr-FR"/>
        </w:rPr>
      </w:pPr>
    </w:p>
    <w:p w14:paraId="24CC2CDF" w14:textId="26F400E8" w:rsidR="003D5083" w:rsidRDefault="00EC3476" w:rsidP="003D5083">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Les plus-values à long terme sont taxées à taux bas</w:t>
      </w:r>
      <w:r w:rsidR="00EC15C8">
        <w:rPr>
          <w:rFonts w:ascii="Rockwell" w:eastAsia="Times New Roman" w:hAnsi="Rockwell" w:cs="Times New Roman"/>
          <w:sz w:val="32"/>
          <w:szCs w:val="32"/>
          <w:lang w:eastAsia="fr-FR"/>
        </w:rPr>
        <w:t>,</w:t>
      </w:r>
      <w:r>
        <w:rPr>
          <w:rFonts w:ascii="Rockwell" w:eastAsia="Times New Roman" w:hAnsi="Rockwell" w:cs="Times New Roman"/>
          <w:sz w:val="32"/>
          <w:szCs w:val="32"/>
          <w:lang w:eastAsia="fr-FR"/>
        </w:rPr>
        <w:t xml:space="preserve"> donc le CGI les soumet à des conditions </w:t>
      </w:r>
      <w:r w:rsidR="00EC15C8">
        <w:rPr>
          <w:rFonts w:ascii="Rockwell" w:eastAsia="Times New Roman" w:hAnsi="Rockwell" w:cs="Times New Roman"/>
          <w:sz w:val="32"/>
          <w:szCs w:val="32"/>
          <w:lang w:eastAsia="fr-FR"/>
        </w:rPr>
        <w:t xml:space="preserve">plus </w:t>
      </w:r>
      <w:r>
        <w:rPr>
          <w:rFonts w:ascii="Rockwell" w:eastAsia="Times New Roman" w:hAnsi="Rockwell" w:cs="Times New Roman"/>
          <w:sz w:val="32"/>
          <w:szCs w:val="32"/>
          <w:lang w:eastAsia="fr-FR"/>
        </w:rPr>
        <w:t xml:space="preserve">restreintes : cessions de titres de participation, de brevets ou de dividendes de capital-risque détenus </w:t>
      </w:r>
      <w:r>
        <w:rPr>
          <w:rFonts w:ascii="Rockwell" w:eastAsia="Times New Roman" w:hAnsi="Rockwell" w:cs="Times New Roman"/>
          <w:sz w:val="32"/>
          <w:szCs w:val="32"/>
          <w:lang w:eastAsia="fr-FR"/>
        </w:rPr>
        <w:lastRenderedPageBreak/>
        <w:t>par la société</w:t>
      </w:r>
      <w:r w:rsidR="00737574">
        <w:rPr>
          <w:rFonts w:ascii="Rockwell" w:eastAsia="Times New Roman" w:hAnsi="Rockwell" w:cs="Times New Roman"/>
          <w:sz w:val="32"/>
          <w:szCs w:val="32"/>
          <w:lang w:eastAsia="fr-FR"/>
        </w:rPr>
        <w:t>. L</w:t>
      </w:r>
      <w:r w:rsidR="003D5083" w:rsidRPr="003D5083">
        <w:rPr>
          <w:rFonts w:ascii="Rockwell" w:eastAsia="Times New Roman" w:hAnsi="Rockwell" w:cs="Times New Roman"/>
          <w:sz w:val="32"/>
          <w:szCs w:val="32"/>
          <w:u w:val="single"/>
          <w:lang w:eastAsia="fr-FR"/>
        </w:rPr>
        <w:t>es plus-values à long terme sont imposées séparément aux taux réduits</w:t>
      </w:r>
      <w:r w:rsidR="003D5083" w:rsidRPr="003D5083">
        <w:rPr>
          <w:rFonts w:ascii="Rockwell" w:eastAsia="Times New Roman" w:hAnsi="Rockwell" w:cs="Times New Roman"/>
          <w:sz w:val="32"/>
          <w:szCs w:val="32"/>
          <w:lang w:eastAsia="fr-FR"/>
        </w:rPr>
        <w:t xml:space="preserve"> de 0 %, 15 %, ou 19 %</w:t>
      </w:r>
      <w:r w:rsidR="00737574">
        <w:rPr>
          <w:rFonts w:ascii="Rockwell" w:eastAsia="Times New Roman" w:hAnsi="Rockwell" w:cs="Times New Roman"/>
          <w:sz w:val="32"/>
          <w:szCs w:val="32"/>
          <w:lang w:eastAsia="fr-FR"/>
        </w:rPr>
        <w:t>.</w:t>
      </w:r>
      <w:r w:rsidR="00D6783A">
        <w:rPr>
          <w:rFonts w:ascii="Rockwell" w:eastAsia="Times New Roman" w:hAnsi="Rockwell" w:cs="Times New Roman"/>
          <w:sz w:val="32"/>
          <w:szCs w:val="32"/>
          <w:lang w:eastAsia="fr-FR"/>
        </w:rPr>
        <w:t xml:space="preserve"> </w:t>
      </w:r>
    </w:p>
    <w:p w14:paraId="0C425066" w14:textId="77777777" w:rsidR="00EA3D41" w:rsidRPr="00EA5C9C" w:rsidRDefault="00EA3D41" w:rsidP="003D5083">
      <w:pPr>
        <w:jc w:val="both"/>
        <w:rPr>
          <w:rFonts w:ascii="Rockwell" w:eastAsia="Times New Roman" w:hAnsi="Rockwell" w:cs="Times New Roman"/>
          <w:sz w:val="32"/>
          <w:szCs w:val="32"/>
          <w:lang w:eastAsia="fr-FR"/>
        </w:rPr>
      </w:pPr>
    </w:p>
    <w:p w14:paraId="0EB439C0" w14:textId="20FB4153" w:rsidR="003D5083" w:rsidRPr="00EA5C9C" w:rsidRDefault="003D5083" w:rsidP="003D5083">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 les </w:t>
      </w:r>
      <w:r w:rsidRPr="003D5083">
        <w:rPr>
          <w:rFonts w:ascii="Rockwell" w:eastAsia="Times New Roman" w:hAnsi="Rockwell" w:cs="Times New Roman"/>
          <w:sz w:val="32"/>
          <w:szCs w:val="32"/>
          <w:u w:val="single"/>
          <w:lang w:eastAsia="fr-FR"/>
        </w:rPr>
        <w:t>plus-values à long terme</w:t>
      </w:r>
      <w:r w:rsidRPr="003D5083">
        <w:rPr>
          <w:rFonts w:ascii="Rockwell" w:eastAsia="Times New Roman" w:hAnsi="Rockwell" w:cs="Times New Roman"/>
          <w:sz w:val="32"/>
          <w:szCs w:val="32"/>
          <w:lang w:eastAsia="fr-FR"/>
        </w:rPr>
        <w:t xml:space="preserve"> imposables à 0 % sont, sous certaines conditions, celles provenant de la </w:t>
      </w:r>
      <w:r w:rsidRPr="00737574">
        <w:rPr>
          <w:rFonts w:ascii="Rockwell" w:eastAsia="Times New Roman" w:hAnsi="Rockwell" w:cs="Times New Roman"/>
          <w:b/>
          <w:bCs/>
          <w:sz w:val="32"/>
          <w:szCs w:val="32"/>
          <w:lang w:eastAsia="fr-FR"/>
        </w:rPr>
        <w:t xml:space="preserve">cession de titres de participation </w:t>
      </w:r>
      <w:r w:rsidRPr="003D5083">
        <w:rPr>
          <w:rFonts w:ascii="Rockwell" w:eastAsia="Times New Roman" w:hAnsi="Rockwell" w:cs="Times New Roman"/>
          <w:sz w:val="32"/>
          <w:szCs w:val="32"/>
          <w:lang w:eastAsia="fr-FR"/>
        </w:rPr>
        <w:t xml:space="preserve">(hors titres de sociétés à prépondérance immobilière - SPI - ) détenus depuis </w:t>
      </w:r>
      <w:r w:rsidRPr="00737574">
        <w:rPr>
          <w:rFonts w:ascii="Rockwell" w:eastAsia="Times New Roman" w:hAnsi="Rockwell" w:cs="Times New Roman"/>
          <w:sz w:val="32"/>
          <w:szCs w:val="32"/>
          <w:u w:val="single"/>
          <w:lang w:eastAsia="fr-FR"/>
        </w:rPr>
        <w:t>au moins deux ans</w:t>
      </w:r>
      <w:r w:rsidRPr="003D5083">
        <w:rPr>
          <w:rFonts w:ascii="Rockwell" w:eastAsia="Times New Roman" w:hAnsi="Rockwell" w:cs="Times New Roman"/>
          <w:sz w:val="32"/>
          <w:szCs w:val="32"/>
          <w:lang w:eastAsia="fr-FR"/>
        </w:rPr>
        <w:t xml:space="preserve"> ou, dans certaines limites, de parts de certains </w:t>
      </w:r>
      <w:r w:rsidRPr="00737574">
        <w:rPr>
          <w:rFonts w:ascii="Rockwell" w:eastAsia="Times New Roman" w:hAnsi="Rockwell" w:cs="Times New Roman"/>
          <w:b/>
          <w:bCs/>
          <w:sz w:val="32"/>
          <w:szCs w:val="32"/>
          <w:lang w:eastAsia="fr-FR"/>
        </w:rPr>
        <w:t>fonds communs de placements à risques ou des sociétés de capital-risque</w:t>
      </w:r>
      <w:r w:rsidRPr="003D5083">
        <w:rPr>
          <w:rFonts w:ascii="Rockwell" w:eastAsia="Times New Roman" w:hAnsi="Rockwell" w:cs="Times New Roman"/>
          <w:sz w:val="32"/>
          <w:szCs w:val="32"/>
          <w:lang w:eastAsia="fr-FR"/>
        </w:rPr>
        <w:t xml:space="preserve"> détenues depuis </w:t>
      </w:r>
      <w:r w:rsidRPr="00737574">
        <w:rPr>
          <w:rFonts w:ascii="Rockwell" w:eastAsia="Times New Roman" w:hAnsi="Rockwell" w:cs="Times New Roman"/>
          <w:sz w:val="32"/>
          <w:szCs w:val="32"/>
          <w:u w:val="single"/>
          <w:lang w:eastAsia="fr-FR"/>
        </w:rPr>
        <w:t>au moins cinq ans</w:t>
      </w:r>
      <w:r w:rsidRPr="003D5083">
        <w:rPr>
          <w:rFonts w:ascii="Rockwell" w:eastAsia="Times New Roman" w:hAnsi="Rockwell" w:cs="Times New Roman"/>
          <w:sz w:val="32"/>
          <w:szCs w:val="32"/>
          <w:lang w:eastAsia="fr-FR"/>
        </w:rPr>
        <w:t>. Les plus-values à long terme de cession de titres de participation sont exonérées sous réserve de la réintégration d’une quote-part représentative de frais et charges égale à 12 % du montant brut des plus-values de cession exonérées</w:t>
      </w:r>
      <w:r w:rsidR="00EC15C8">
        <w:rPr>
          <w:rFonts w:ascii="Rockwell" w:eastAsia="Times New Roman" w:hAnsi="Rockwell" w:cs="Times New Roman"/>
          <w:sz w:val="32"/>
          <w:szCs w:val="32"/>
          <w:lang w:eastAsia="fr-FR"/>
        </w:rPr>
        <w:t>. Ceci signifie une imposition à 12% (niche Copé) de 2007 et donc une exonération de 88% des plus-values.</w:t>
      </w:r>
    </w:p>
    <w:p w14:paraId="455E2E74" w14:textId="67131658" w:rsidR="003D5083" w:rsidRDefault="003D5083" w:rsidP="003D5083">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 les </w:t>
      </w:r>
      <w:r w:rsidRPr="003D5083">
        <w:rPr>
          <w:rFonts w:ascii="Rockwell" w:eastAsia="Times New Roman" w:hAnsi="Rockwell" w:cs="Times New Roman"/>
          <w:sz w:val="32"/>
          <w:szCs w:val="32"/>
          <w:u w:val="single"/>
          <w:lang w:eastAsia="fr-FR"/>
        </w:rPr>
        <w:t>plus-values à long terme</w:t>
      </w:r>
      <w:r w:rsidRPr="003D5083">
        <w:rPr>
          <w:rFonts w:ascii="Rockwell" w:eastAsia="Times New Roman" w:hAnsi="Rockwell" w:cs="Times New Roman"/>
          <w:sz w:val="32"/>
          <w:szCs w:val="32"/>
          <w:lang w:eastAsia="fr-FR"/>
        </w:rPr>
        <w:t xml:space="preserve"> imposées au taux de 15 % sont celles provenant de certaines </w:t>
      </w:r>
      <w:r w:rsidRPr="00737574">
        <w:rPr>
          <w:rFonts w:ascii="Rockwell" w:eastAsia="Times New Roman" w:hAnsi="Rockwell" w:cs="Times New Roman"/>
          <w:b/>
          <w:bCs/>
          <w:sz w:val="32"/>
          <w:szCs w:val="32"/>
          <w:lang w:eastAsia="fr-FR"/>
        </w:rPr>
        <w:t>cessions de brevets</w:t>
      </w:r>
      <w:r w:rsidRPr="003D5083">
        <w:rPr>
          <w:rFonts w:ascii="Rockwell" w:eastAsia="Times New Roman" w:hAnsi="Rockwell" w:cs="Times New Roman"/>
          <w:sz w:val="32"/>
          <w:szCs w:val="32"/>
          <w:lang w:eastAsia="fr-FR"/>
        </w:rPr>
        <w:t xml:space="preserve"> et comprennent également le résultat net des concessions et de certaines sous-concessions de licences d’exploitation de brevets, d’inventions brevetables ou de perfectionnements qui y ont été apportés, ou de certains procédés de fabrication industriels et les plus-values de cession de ces mêmes éléments ainsi que des répartitions d’actifs ou rachats de titres réalisés par les fonds communs de placements à risques ou des sociétés de capital-risque ; </w:t>
      </w:r>
    </w:p>
    <w:p w14:paraId="624D1E22" w14:textId="77777777" w:rsidR="00EA3D41" w:rsidRPr="00EA5C9C" w:rsidRDefault="00EA3D41" w:rsidP="003D5083">
      <w:pPr>
        <w:jc w:val="both"/>
        <w:rPr>
          <w:rFonts w:ascii="Rockwell" w:eastAsia="Times New Roman" w:hAnsi="Rockwell" w:cs="Times New Roman"/>
          <w:sz w:val="32"/>
          <w:szCs w:val="32"/>
          <w:lang w:eastAsia="fr-FR"/>
        </w:rPr>
      </w:pPr>
    </w:p>
    <w:p w14:paraId="420BE50A" w14:textId="4389FB55" w:rsidR="003D5083" w:rsidRDefault="003D5083" w:rsidP="003D5083">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 les </w:t>
      </w:r>
      <w:r w:rsidRPr="003D5083">
        <w:rPr>
          <w:rFonts w:ascii="Rockwell" w:eastAsia="Times New Roman" w:hAnsi="Rockwell" w:cs="Times New Roman"/>
          <w:sz w:val="32"/>
          <w:szCs w:val="32"/>
          <w:u w:val="single"/>
          <w:lang w:eastAsia="fr-FR"/>
        </w:rPr>
        <w:t>plus-values à long terme</w:t>
      </w:r>
      <w:r w:rsidRPr="003D5083">
        <w:rPr>
          <w:rFonts w:ascii="Rockwell" w:eastAsia="Times New Roman" w:hAnsi="Rockwell" w:cs="Times New Roman"/>
          <w:sz w:val="32"/>
          <w:szCs w:val="32"/>
          <w:lang w:eastAsia="fr-FR"/>
        </w:rPr>
        <w:t xml:space="preserve"> imposées au taux de 19 % sont celles provenant de la </w:t>
      </w:r>
      <w:r w:rsidRPr="00737574">
        <w:rPr>
          <w:rFonts w:ascii="Rockwell" w:eastAsia="Times New Roman" w:hAnsi="Rockwell" w:cs="Times New Roman"/>
          <w:b/>
          <w:bCs/>
          <w:sz w:val="32"/>
          <w:szCs w:val="32"/>
          <w:lang w:eastAsia="fr-FR"/>
        </w:rPr>
        <w:t>cession des titres de SPI</w:t>
      </w:r>
      <w:r w:rsidRPr="003D5083">
        <w:rPr>
          <w:rFonts w:ascii="Rockwell" w:eastAsia="Times New Roman" w:hAnsi="Rockwell" w:cs="Times New Roman"/>
          <w:sz w:val="32"/>
          <w:szCs w:val="32"/>
          <w:lang w:eastAsia="fr-FR"/>
        </w:rPr>
        <w:t xml:space="preserve"> cotées ; </w:t>
      </w:r>
    </w:p>
    <w:p w14:paraId="1F7BC4D2" w14:textId="77777777" w:rsidR="00EA3D41" w:rsidRPr="00EA5C9C" w:rsidRDefault="00EA3D41" w:rsidP="003D5083">
      <w:pPr>
        <w:jc w:val="both"/>
        <w:rPr>
          <w:rFonts w:ascii="Rockwell" w:eastAsia="Times New Roman" w:hAnsi="Rockwell" w:cs="Times New Roman"/>
          <w:sz w:val="32"/>
          <w:szCs w:val="32"/>
          <w:lang w:eastAsia="fr-FR"/>
        </w:rPr>
      </w:pPr>
    </w:p>
    <w:p w14:paraId="5774BCC0" w14:textId="77777777" w:rsidR="00D6783A" w:rsidRDefault="003D5083" w:rsidP="00D6783A">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 les </w:t>
      </w:r>
      <w:r w:rsidRPr="003D5083">
        <w:rPr>
          <w:rFonts w:ascii="Rockwell" w:eastAsia="Times New Roman" w:hAnsi="Rockwell" w:cs="Times New Roman"/>
          <w:sz w:val="32"/>
          <w:szCs w:val="32"/>
          <w:u w:val="single"/>
          <w:lang w:eastAsia="fr-FR"/>
        </w:rPr>
        <w:t>autres plus-values</w:t>
      </w:r>
      <w:r w:rsidRPr="003D5083">
        <w:rPr>
          <w:rFonts w:ascii="Rockwell" w:eastAsia="Times New Roman" w:hAnsi="Rockwell" w:cs="Times New Roman"/>
          <w:sz w:val="32"/>
          <w:szCs w:val="32"/>
          <w:lang w:eastAsia="fr-FR"/>
        </w:rPr>
        <w:t xml:space="preserve"> sont imposées comme un bénéfice ordinaire au </w:t>
      </w:r>
      <w:r w:rsidRPr="00C00985">
        <w:rPr>
          <w:rFonts w:ascii="Rockwell" w:eastAsia="Times New Roman" w:hAnsi="Rockwell" w:cs="Times New Roman"/>
          <w:b/>
          <w:bCs/>
          <w:sz w:val="32"/>
          <w:szCs w:val="32"/>
          <w:lang w:eastAsia="fr-FR"/>
        </w:rPr>
        <w:t>taux normal de l'IS</w:t>
      </w:r>
      <w:r w:rsidRPr="003D5083">
        <w:rPr>
          <w:rFonts w:ascii="Rockwell" w:eastAsia="Times New Roman" w:hAnsi="Rockwell" w:cs="Times New Roman"/>
          <w:sz w:val="32"/>
          <w:szCs w:val="32"/>
          <w:lang w:eastAsia="fr-FR"/>
        </w:rPr>
        <w:t>, sous réserve de l’exonération, sous certaines conditions, des plus-values de cession d’une branche complète d’activité</w:t>
      </w:r>
      <w:r w:rsidR="00D6783A">
        <w:rPr>
          <w:rFonts w:ascii="Rockwell" w:eastAsia="Times New Roman" w:hAnsi="Rockwell" w:cs="Times New Roman"/>
          <w:sz w:val="32"/>
          <w:szCs w:val="32"/>
          <w:lang w:eastAsia="fr-FR"/>
        </w:rPr>
        <w:t>. En cas de moins-value, elle sera simplement déduite du résultat imposable.</w:t>
      </w:r>
    </w:p>
    <w:p w14:paraId="3CE1F3AF" w14:textId="347A07D7" w:rsidR="00EA5C9C" w:rsidRDefault="00EA5C9C" w:rsidP="003D5083">
      <w:pPr>
        <w:jc w:val="both"/>
        <w:rPr>
          <w:rFonts w:ascii="Rockwell" w:eastAsia="Times New Roman" w:hAnsi="Rockwell" w:cs="Times New Roman"/>
          <w:sz w:val="32"/>
          <w:szCs w:val="32"/>
          <w:lang w:eastAsia="fr-FR"/>
        </w:rPr>
      </w:pPr>
    </w:p>
    <w:p w14:paraId="5FF6ABA7" w14:textId="77777777" w:rsidR="00EA3D41" w:rsidRPr="00EA5C9C" w:rsidRDefault="00EA3D41" w:rsidP="003D5083">
      <w:pPr>
        <w:jc w:val="both"/>
        <w:rPr>
          <w:rFonts w:ascii="Rockwell" w:eastAsia="Times New Roman" w:hAnsi="Rockwell" w:cs="Times New Roman"/>
          <w:sz w:val="32"/>
          <w:szCs w:val="32"/>
          <w:lang w:eastAsia="fr-FR"/>
        </w:rPr>
      </w:pPr>
    </w:p>
    <w:p w14:paraId="0CBCCF1C" w14:textId="152415C3" w:rsidR="003D5083" w:rsidRDefault="003D5083" w:rsidP="003D5083">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 le régime des </w:t>
      </w:r>
      <w:r w:rsidRPr="003D5083">
        <w:rPr>
          <w:rFonts w:ascii="Rockwell" w:eastAsia="Times New Roman" w:hAnsi="Rockwell" w:cs="Times New Roman"/>
          <w:sz w:val="32"/>
          <w:szCs w:val="32"/>
          <w:u w:val="single"/>
          <w:lang w:eastAsia="fr-FR"/>
        </w:rPr>
        <w:t xml:space="preserve">plus et moins-values à long terme ne s’applique pas à la plus ou moins-value provenant de la cession de titres de sociétés établies </w:t>
      </w:r>
      <w:r w:rsidRPr="00C00985">
        <w:rPr>
          <w:rFonts w:ascii="Rockwell" w:eastAsia="Times New Roman" w:hAnsi="Rockwell" w:cs="Times New Roman"/>
          <w:b/>
          <w:bCs/>
          <w:sz w:val="32"/>
          <w:szCs w:val="32"/>
          <w:u w:val="single"/>
          <w:lang w:eastAsia="fr-FR"/>
        </w:rPr>
        <w:t>dans un État ou territoire non coopératif</w:t>
      </w:r>
      <w:r w:rsidRPr="003D5083">
        <w:rPr>
          <w:rFonts w:ascii="Rockwell" w:eastAsia="Times New Roman" w:hAnsi="Rockwell" w:cs="Times New Roman"/>
          <w:sz w:val="32"/>
          <w:szCs w:val="32"/>
          <w:lang w:eastAsia="fr-FR"/>
        </w:rPr>
        <w:t xml:space="preserve">, sauf si l’entreprise détentrice des titres apporte la preuve que les opérations de la société établie hors de France dans laquelle est prise la participation </w:t>
      </w:r>
      <w:r w:rsidRPr="003D5083">
        <w:rPr>
          <w:rFonts w:ascii="Rockwell" w:eastAsia="Times New Roman" w:hAnsi="Rockwell" w:cs="Times New Roman"/>
          <w:sz w:val="32"/>
          <w:szCs w:val="32"/>
          <w:lang w:eastAsia="fr-FR"/>
        </w:rPr>
        <w:lastRenderedPageBreak/>
        <w:t xml:space="preserve">correspondent à des opérations réelles qui n’ont ni pour objet ni pour effet de permettre, dans un but de fraude fiscale, la localisation des bénéfices dans un tel État ou territoire ; </w:t>
      </w:r>
    </w:p>
    <w:p w14:paraId="2463A97E" w14:textId="77777777" w:rsidR="00EA3D41" w:rsidRPr="00EA5C9C" w:rsidRDefault="00EA3D41" w:rsidP="003D5083">
      <w:pPr>
        <w:jc w:val="both"/>
        <w:rPr>
          <w:rFonts w:ascii="Rockwell" w:eastAsia="Times New Roman" w:hAnsi="Rockwell" w:cs="Times New Roman"/>
          <w:sz w:val="32"/>
          <w:szCs w:val="32"/>
          <w:lang w:eastAsia="fr-FR"/>
        </w:rPr>
      </w:pPr>
    </w:p>
    <w:p w14:paraId="4935C005" w14:textId="1E69FD79" w:rsidR="003D5083" w:rsidRDefault="003D5083" w:rsidP="003D5083">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 la </w:t>
      </w:r>
      <w:r w:rsidRPr="003D5083">
        <w:rPr>
          <w:rFonts w:ascii="Rockwell" w:eastAsia="Times New Roman" w:hAnsi="Rockwell" w:cs="Times New Roman"/>
          <w:sz w:val="32"/>
          <w:szCs w:val="32"/>
          <w:u w:val="single"/>
          <w:lang w:eastAsia="fr-FR"/>
        </w:rPr>
        <w:t>moins-value réalisée lors de la cession entre entreprises liées de titres de participation détenus depuis moins de deux ans fait l’objet d’un report de déduction</w:t>
      </w:r>
      <w:r w:rsidRPr="003D5083">
        <w:rPr>
          <w:rFonts w:ascii="Rockwell" w:eastAsia="Times New Roman" w:hAnsi="Rockwell" w:cs="Times New Roman"/>
          <w:sz w:val="32"/>
          <w:szCs w:val="32"/>
          <w:lang w:eastAsia="fr-FR"/>
        </w:rPr>
        <w:t xml:space="preserve">. En revanche, les plus-values de cession de titres de participation à une entreprise liée, détenus depuis moins de deux ans, demeurent régies par les dispositions de droit commun (en principe, imposition au taux normal de l’impôt sur les sociétés). </w:t>
      </w:r>
    </w:p>
    <w:p w14:paraId="632DD55C" w14:textId="77777777" w:rsidR="00EA3D41" w:rsidRPr="00EA5C9C" w:rsidRDefault="00EA3D41" w:rsidP="003D5083">
      <w:pPr>
        <w:jc w:val="both"/>
        <w:rPr>
          <w:rFonts w:ascii="Rockwell" w:eastAsia="Times New Roman" w:hAnsi="Rockwell" w:cs="Times New Roman"/>
          <w:sz w:val="32"/>
          <w:szCs w:val="32"/>
          <w:lang w:eastAsia="fr-FR"/>
        </w:rPr>
      </w:pPr>
    </w:p>
    <w:p w14:paraId="5FDB8326" w14:textId="47A83DDB" w:rsidR="003D5083" w:rsidRPr="00EA5C9C" w:rsidRDefault="003D5083" w:rsidP="003D5083">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 les plus-values de cession de titres réalisées par un </w:t>
      </w:r>
      <w:r w:rsidRPr="003D5083">
        <w:rPr>
          <w:rFonts w:ascii="Rockwell" w:eastAsia="Times New Roman" w:hAnsi="Rockwell" w:cs="Times New Roman"/>
          <w:sz w:val="32"/>
          <w:szCs w:val="32"/>
          <w:u w:val="single"/>
          <w:lang w:eastAsia="fr-FR"/>
        </w:rPr>
        <w:t>fonds commun de placement</w:t>
      </w:r>
      <w:r w:rsidRPr="003D5083">
        <w:rPr>
          <w:rFonts w:ascii="Rockwell" w:eastAsia="Times New Roman" w:hAnsi="Rockwell" w:cs="Times New Roman"/>
          <w:sz w:val="32"/>
          <w:szCs w:val="32"/>
          <w:lang w:eastAsia="fr-FR"/>
        </w:rPr>
        <w:t xml:space="preserve"> (FCP)</w:t>
      </w:r>
      <w:r w:rsidR="00C00985">
        <w:rPr>
          <w:rFonts w:ascii="Rockwell" w:eastAsia="Times New Roman" w:hAnsi="Rockwell" w:cs="Times New Roman"/>
          <w:sz w:val="32"/>
          <w:szCs w:val="32"/>
          <w:lang w:eastAsia="fr-FR"/>
        </w:rPr>
        <w:t xml:space="preserve"> hors capital-risque</w:t>
      </w:r>
      <w:r w:rsidRPr="003D5083">
        <w:rPr>
          <w:rFonts w:ascii="Rockwell" w:eastAsia="Times New Roman" w:hAnsi="Rockwell" w:cs="Times New Roman"/>
          <w:sz w:val="32"/>
          <w:szCs w:val="32"/>
          <w:lang w:eastAsia="fr-FR"/>
        </w:rPr>
        <w:t xml:space="preserve"> sont imposées au </w:t>
      </w:r>
      <w:r w:rsidRPr="003D5083">
        <w:rPr>
          <w:rFonts w:ascii="Rockwell" w:eastAsia="Times New Roman" w:hAnsi="Rockwell" w:cs="Times New Roman"/>
          <w:sz w:val="32"/>
          <w:szCs w:val="32"/>
          <w:u w:val="single"/>
          <w:lang w:eastAsia="fr-FR"/>
        </w:rPr>
        <w:t>taux de droit commun</w:t>
      </w:r>
      <w:r w:rsidRPr="003D5083">
        <w:rPr>
          <w:rFonts w:ascii="Rockwell" w:eastAsia="Times New Roman" w:hAnsi="Rockwell" w:cs="Times New Roman"/>
          <w:sz w:val="32"/>
          <w:szCs w:val="32"/>
          <w:lang w:eastAsia="fr-FR"/>
        </w:rPr>
        <w:t xml:space="preserve"> dès leur distribution aux porteurs de parts sans report d’imposition, pour les sommes distribuées par ces fonds. </w:t>
      </w:r>
      <w:r w:rsidRPr="00EA5C9C">
        <w:rPr>
          <w:rFonts w:ascii="Rockwell" w:eastAsia="Times New Roman" w:hAnsi="Rockwell" w:cs="Times New Roman"/>
          <w:sz w:val="32"/>
          <w:szCs w:val="32"/>
          <w:lang w:eastAsia="fr-FR"/>
        </w:rPr>
        <w:t xml:space="preserve">Ceci résulte de la </w:t>
      </w:r>
      <w:r w:rsidRPr="003D5083">
        <w:rPr>
          <w:rFonts w:ascii="Rockwell" w:eastAsia="Times New Roman" w:hAnsi="Rockwell" w:cs="Times New Roman"/>
          <w:sz w:val="32"/>
          <w:szCs w:val="32"/>
          <w:lang w:eastAsia="fr-FR"/>
        </w:rPr>
        <w:t>Loi n° 2012-1510 du 29 décembre 2012 de finances rectificative pour 2013 (</w:t>
      </w:r>
      <w:r w:rsidRPr="00EA5C9C">
        <w:rPr>
          <w:rFonts w:ascii="Rockwell" w:eastAsia="Times New Roman" w:hAnsi="Rockwell" w:cs="Times New Roman"/>
          <w:sz w:val="32"/>
          <w:szCs w:val="32"/>
          <w:lang w:eastAsia="fr-FR"/>
        </w:rPr>
        <w:t>article 20).</w:t>
      </w:r>
    </w:p>
    <w:p w14:paraId="46912C31" w14:textId="77777777" w:rsidR="003D5083" w:rsidRPr="00EA5C9C" w:rsidRDefault="003D5083" w:rsidP="003D5083">
      <w:pPr>
        <w:jc w:val="both"/>
        <w:rPr>
          <w:rFonts w:ascii="Rockwell" w:eastAsia="Times New Roman" w:hAnsi="Rockwell" w:cs="Times New Roman"/>
          <w:sz w:val="32"/>
          <w:szCs w:val="32"/>
          <w:lang w:eastAsia="fr-FR"/>
        </w:rPr>
      </w:pPr>
    </w:p>
    <w:p w14:paraId="0A529793" w14:textId="77777777" w:rsidR="00EA3D41" w:rsidRDefault="003D5083" w:rsidP="003D5083">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En cas de </w:t>
      </w:r>
      <w:r w:rsidRPr="003D5083">
        <w:rPr>
          <w:rFonts w:ascii="Rockwell" w:eastAsia="Times New Roman" w:hAnsi="Rockwell" w:cs="Times New Roman"/>
          <w:sz w:val="32"/>
          <w:szCs w:val="32"/>
          <w:u w:val="single"/>
          <w:lang w:eastAsia="fr-FR"/>
        </w:rPr>
        <w:t>transfert de siège</w:t>
      </w:r>
      <w:r w:rsidRPr="003D5083">
        <w:rPr>
          <w:rFonts w:ascii="Rockwell" w:eastAsia="Times New Roman" w:hAnsi="Rockwell" w:cs="Times New Roman"/>
          <w:sz w:val="32"/>
          <w:szCs w:val="32"/>
          <w:lang w:eastAsia="fr-FR"/>
        </w:rPr>
        <w:t xml:space="preserve">, accompagné du transfert d’éléments de l’actif immobilisé dans un autre État de l’Union européenne ou de l’Espace économique européen, la plus-value latente afférente à ces éléments d’actif est imposable au </w:t>
      </w:r>
      <w:r w:rsidRPr="003D5083">
        <w:rPr>
          <w:rFonts w:ascii="Rockwell" w:eastAsia="Times New Roman" w:hAnsi="Rockwell" w:cs="Times New Roman"/>
          <w:sz w:val="32"/>
          <w:szCs w:val="32"/>
          <w:u w:val="single"/>
          <w:lang w:eastAsia="fr-FR"/>
        </w:rPr>
        <w:t>taux normal</w:t>
      </w:r>
      <w:r w:rsidRPr="003D5083">
        <w:rPr>
          <w:rFonts w:ascii="Rockwell" w:eastAsia="Times New Roman" w:hAnsi="Rockwell" w:cs="Times New Roman"/>
          <w:sz w:val="32"/>
          <w:szCs w:val="32"/>
          <w:lang w:eastAsia="fr-FR"/>
        </w:rPr>
        <w:t xml:space="preserve"> de l’impôt sur les sociétés, soit immédiatement, soit de manière </w:t>
      </w:r>
      <w:r w:rsidRPr="003D5083">
        <w:rPr>
          <w:rFonts w:ascii="Rockwell" w:eastAsia="Times New Roman" w:hAnsi="Rockwell" w:cs="Times New Roman"/>
          <w:sz w:val="32"/>
          <w:szCs w:val="32"/>
          <w:u w:val="single"/>
          <w:lang w:eastAsia="fr-FR"/>
        </w:rPr>
        <w:t>échelonnée sur cinq ans</w:t>
      </w:r>
      <w:r w:rsidRPr="003D5083">
        <w:rPr>
          <w:rFonts w:ascii="Rockwell" w:eastAsia="Times New Roman" w:hAnsi="Rockwell" w:cs="Times New Roman"/>
          <w:sz w:val="32"/>
          <w:szCs w:val="32"/>
          <w:lang w:eastAsia="fr-FR"/>
        </w:rPr>
        <w:t xml:space="preserve">. </w:t>
      </w:r>
    </w:p>
    <w:p w14:paraId="59EFBF1A" w14:textId="77777777" w:rsidR="00EA3D41" w:rsidRDefault="00EA3D41" w:rsidP="003D5083">
      <w:pPr>
        <w:jc w:val="both"/>
        <w:rPr>
          <w:rFonts w:ascii="Rockwell" w:eastAsia="Times New Roman" w:hAnsi="Rockwell" w:cs="Times New Roman"/>
          <w:sz w:val="32"/>
          <w:szCs w:val="32"/>
          <w:lang w:eastAsia="fr-FR"/>
        </w:rPr>
      </w:pPr>
    </w:p>
    <w:p w14:paraId="09DCCE7C" w14:textId="1D8D89E4" w:rsidR="003D5083" w:rsidRPr="00EA5C9C" w:rsidRDefault="003D5083" w:rsidP="003D5083">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Le résultat de ces divers retraitements peut faire apparaître : </w:t>
      </w:r>
    </w:p>
    <w:p w14:paraId="5C1F8674" w14:textId="4075FFA2" w:rsidR="003D5083" w:rsidRPr="00EA5C9C" w:rsidRDefault="003D5083" w:rsidP="003D5083">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 soit un résultat positif : le bénéfice sur lequel est calculé l'IS ; </w:t>
      </w:r>
    </w:p>
    <w:p w14:paraId="0E4E701B" w14:textId="77777777" w:rsidR="003D5083" w:rsidRPr="00EA5C9C" w:rsidRDefault="003D5083" w:rsidP="003D5083">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xml:space="preserve">• soit un résultat négatif : le déficit peut : </w:t>
      </w:r>
    </w:p>
    <w:p w14:paraId="57D7A41A" w14:textId="5D832907" w:rsidR="00EA5C9C" w:rsidRDefault="003D5083" w:rsidP="00EA5C9C">
      <w:pPr>
        <w:jc w:val="both"/>
        <w:rPr>
          <w:rFonts w:ascii="Rockwell" w:eastAsia="Times New Roman" w:hAnsi="Rockwell" w:cs="Times New Roman"/>
          <w:sz w:val="32"/>
          <w:szCs w:val="32"/>
          <w:lang w:eastAsia="fr-FR"/>
        </w:rPr>
      </w:pPr>
      <w:r w:rsidRPr="003D5083">
        <w:rPr>
          <w:rFonts w:ascii="Rockwell" w:eastAsia="Times New Roman" w:hAnsi="Rockwell" w:cs="Times New Roman"/>
          <w:sz w:val="32"/>
          <w:szCs w:val="32"/>
          <w:lang w:eastAsia="fr-FR"/>
        </w:rPr>
        <w:t>- soit être imputé sur les éventuels bénéfices des exercices suivants, dans la limite de 1 M€, majorée de 50 % de la fraction du bénéfice qui excède cette limite (</w:t>
      </w:r>
      <w:r w:rsidRPr="003D5083">
        <w:rPr>
          <w:rFonts w:ascii="Rockwell" w:eastAsia="Times New Roman" w:hAnsi="Rockwell" w:cs="Times New Roman"/>
          <w:b/>
          <w:bCs/>
          <w:i/>
          <w:iCs/>
          <w:sz w:val="32"/>
          <w:szCs w:val="32"/>
          <w:lang w:eastAsia="fr-FR"/>
        </w:rPr>
        <w:t>report en avant</w:t>
      </w:r>
      <w:r w:rsidRPr="003D5083">
        <w:rPr>
          <w:rFonts w:ascii="Rockwell" w:eastAsia="Times New Roman" w:hAnsi="Rockwell" w:cs="Times New Roman"/>
          <w:sz w:val="32"/>
          <w:szCs w:val="32"/>
          <w:lang w:eastAsia="fr-FR"/>
        </w:rPr>
        <w:t xml:space="preserve">) ; </w:t>
      </w:r>
    </w:p>
    <w:p w14:paraId="4CDA2C3F" w14:textId="53DC1B70" w:rsidR="00EA5C9C" w:rsidRPr="00EA5C9C" w:rsidRDefault="00001804" w:rsidP="00EA5C9C">
      <w:pPr>
        <w:jc w:val="both"/>
        <w:rPr>
          <w:rFonts w:ascii="Rockwell" w:eastAsia="Times New Roman" w:hAnsi="Rockwell" w:cs="Times New Roman"/>
          <w:sz w:val="32"/>
          <w:szCs w:val="32"/>
          <w:lang w:eastAsia="fr-FR"/>
        </w:rPr>
      </w:pPr>
      <w:r w:rsidRPr="00001804">
        <w:rPr>
          <w:rFonts w:ascii="Rockwell" w:eastAsia="Times New Roman" w:hAnsi="Rockwell" w:cs="Times New Roman"/>
          <w:sz w:val="32"/>
          <w:szCs w:val="32"/>
          <w:lang w:eastAsia="fr-FR"/>
        </w:rPr>
        <w:t>- soit, sur option, et sous certaines conditions, constituer une charge de l’exercice précédent dans la limite du montant le plus faible entre le bénéfice de l’exercice précédent et un montant de 1 M€ (</w:t>
      </w:r>
      <w:r w:rsidRPr="00001804">
        <w:rPr>
          <w:rFonts w:ascii="Rockwell" w:eastAsia="Times New Roman" w:hAnsi="Rockwell" w:cs="Times New Roman"/>
          <w:b/>
          <w:bCs/>
          <w:i/>
          <w:iCs/>
          <w:sz w:val="32"/>
          <w:szCs w:val="32"/>
          <w:lang w:eastAsia="fr-FR"/>
        </w:rPr>
        <w:t>report en arrière</w:t>
      </w:r>
      <w:r w:rsidR="00272D8B">
        <w:rPr>
          <w:rFonts w:ascii="Rockwell" w:eastAsia="Times New Roman" w:hAnsi="Rockwell" w:cs="Times New Roman"/>
          <w:b/>
          <w:bCs/>
          <w:i/>
          <w:iCs/>
          <w:sz w:val="32"/>
          <w:szCs w:val="32"/>
          <w:lang w:eastAsia="fr-FR"/>
        </w:rPr>
        <w:t xml:space="preserve"> ou carry-back</w:t>
      </w:r>
      <w:r w:rsidRPr="00001804">
        <w:rPr>
          <w:rFonts w:ascii="Rockwell" w:eastAsia="Times New Roman" w:hAnsi="Rockwell" w:cs="Times New Roman"/>
          <w:sz w:val="32"/>
          <w:szCs w:val="32"/>
          <w:lang w:eastAsia="fr-FR"/>
        </w:rPr>
        <w:t xml:space="preserve">). </w:t>
      </w:r>
      <w:r w:rsidR="00272D8B">
        <w:rPr>
          <w:rFonts w:ascii="Rockwell" w:eastAsia="Times New Roman" w:hAnsi="Rockwell" w:cs="Times New Roman"/>
          <w:sz w:val="32"/>
          <w:szCs w:val="32"/>
          <w:lang w:eastAsia="fr-FR"/>
        </w:rPr>
        <w:t>On a supprimé en 2012 la possibilité de remonter sur 3 ans.</w:t>
      </w:r>
    </w:p>
    <w:p w14:paraId="7FEC14E4" w14:textId="77777777" w:rsidR="00EA5C9C" w:rsidRPr="00EA5C9C" w:rsidRDefault="00EA5C9C" w:rsidP="00EA5C9C">
      <w:pPr>
        <w:jc w:val="both"/>
        <w:rPr>
          <w:rFonts w:ascii="Rockwell" w:eastAsia="Times New Roman" w:hAnsi="Rockwell" w:cs="Times New Roman"/>
          <w:sz w:val="32"/>
          <w:szCs w:val="32"/>
          <w:lang w:eastAsia="fr-FR"/>
        </w:rPr>
      </w:pPr>
    </w:p>
    <w:p w14:paraId="250769E7" w14:textId="77777777" w:rsidR="003D5083" w:rsidRPr="00EA5C9C" w:rsidRDefault="003D5083" w:rsidP="003D5083">
      <w:pPr>
        <w:jc w:val="both"/>
        <w:rPr>
          <w:rFonts w:ascii="Rockwell" w:eastAsia="Times New Roman" w:hAnsi="Rockwell" w:cs="Times New Roman"/>
          <w:sz w:val="32"/>
          <w:szCs w:val="32"/>
          <w:lang w:eastAsia="fr-FR"/>
        </w:rPr>
      </w:pPr>
    </w:p>
    <w:p w14:paraId="31111AF8" w14:textId="77777777" w:rsidR="00A0002A" w:rsidRPr="00003B08" w:rsidRDefault="00A0002A" w:rsidP="003D5083">
      <w:pPr>
        <w:jc w:val="both"/>
        <w:rPr>
          <w:rFonts w:ascii="Times New Roman" w:eastAsia="Times New Roman" w:hAnsi="Times New Roman" w:cs="Times New Roman"/>
          <w:lang w:eastAsia="fr-FR"/>
        </w:rPr>
      </w:pPr>
    </w:p>
    <w:p w14:paraId="4F1E51E2" w14:textId="77777777" w:rsidR="00CA6EE5" w:rsidRDefault="00CA6EE5" w:rsidP="00A3590E">
      <w:pPr>
        <w:jc w:val="both"/>
        <w:rPr>
          <w:rFonts w:ascii="Rockwell" w:hAnsi="Rockwell"/>
          <w:sz w:val="32"/>
          <w:szCs w:val="32"/>
        </w:rPr>
      </w:pPr>
    </w:p>
    <w:p w14:paraId="1C1E1272" w14:textId="174D4F9E" w:rsidR="00A3590E" w:rsidRDefault="00A3590E" w:rsidP="00A3590E">
      <w:pPr>
        <w:jc w:val="both"/>
        <w:rPr>
          <w:rFonts w:ascii="Rockwell" w:hAnsi="Rockwell"/>
          <w:sz w:val="32"/>
          <w:szCs w:val="32"/>
        </w:rPr>
      </w:pPr>
    </w:p>
    <w:p w14:paraId="0BF419A6" w14:textId="2E88A017" w:rsidR="003E25A6" w:rsidRDefault="003E25A6" w:rsidP="00A3590E">
      <w:pPr>
        <w:jc w:val="both"/>
        <w:rPr>
          <w:rFonts w:ascii="Rockwell" w:hAnsi="Rockwell"/>
          <w:sz w:val="32"/>
          <w:szCs w:val="32"/>
        </w:rPr>
      </w:pPr>
    </w:p>
    <w:p w14:paraId="4A726154" w14:textId="210CBE97" w:rsidR="003E25A6" w:rsidRDefault="003E25A6" w:rsidP="00A3590E">
      <w:pPr>
        <w:jc w:val="both"/>
        <w:rPr>
          <w:rFonts w:ascii="Rockwell" w:hAnsi="Rockwell"/>
          <w:sz w:val="32"/>
          <w:szCs w:val="32"/>
        </w:rPr>
      </w:pPr>
    </w:p>
    <w:p w14:paraId="00F86FFD" w14:textId="55ECFB2D" w:rsidR="003E25A6" w:rsidRDefault="003E25A6" w:rsidP="00A3590E">
      <w:pPr>
        <w:jc w:val="both"/>
        <w:rPr>
          <w:rFonts w:ascii="Rockwell" w:hAnsi="Rockwell"/>
          <w:sz w:val="32"/>
          <w:szCs w:val="32"/>
        </w:rPr>
      </w:pPr>
    </w:p>
    <w:p w14:paraId="7F6CC503" w14:textId="0ACEFD54" w:rsidR="003E25A6" w:rsidRDefault="003E25A6" w:rsidP="00A3590E">
      <w:pPr>
        <w:jc w:val="both"/>
        <w:rPr>
          <w:rFonts w:ascii="Rockwell" w:hAnsi="Rockwell"/>
          <w:sz w:val="32"/>
          <w:szCs w:val="32"/>
        </w:rPr>
      </w:pPr>
    </w:p>
    <w:p w14:paraId="41D92F18" w14:textId="43F092AC" w:rsidR="003E25A6" w:rsidRDefault="003E25A6" w:rsidP="00A3590E">
      <w:pPr>
        <w:jc w:val="both"/>
        <w:rPr>
          <w:rFonts w:ascii="Rockwell" w:hAnsi="Rockwell"/>
          <w:sz w:val="32"/>
          <w:szCs w:val="32"/>
        </w:rPr>
      </w:pPr>
    </w:p>
    <w:p w14:paraId="7F3799FC" w14:textId="131B6005" w:rsidR="003E25A6" w:rsidRDefault="003E25A6" w:rsidP="00A3590E">
      <w:pPr>
        <w:jc w:val="both"/>
        <w:rPr>
          <w:rFonts w:ascii="Rockwell" w:hAnsi="Rockwell"/>
          <w:sz w:val="32"/>
          <w:szCs w:val="32"/>
        </w:rPr>
      </w:pPr>
    </w:p>
    <w:p w14:paraId="1C3F62E1" w14:textId="46C11B05" w:rsidR="003E25A6" w:rsidRDefault="003E25A6" w:rsidP="00A3590E">
      <w:pPr>
        <w:jc w:val="both"/>
        <w:rPr>
          <w:rFonts w:ascii="Rockwell" w:hAnsi="Rockwell"/>
          <w:sz w:val="32"/>
          <w:szCs w:val="32"/>
        </w:rPr>
      </w:pPr>
    </w:p>
    <w:p w14:paraId="79365B04" w14:textId="354E9E3E" w:rsidR="003E25A6" w:rsidRDefault="003E25A6" w:rsidP="00A3590E">
      <w:pPr>
        <w:jc w:val="both"/>
        <w:rPr>
          <w:rFonts w:ascii="Rockwell" w:hAnsi="Rockwell"/>
          <w:sz w:val="32"/>
          <w:szCs w:val="32"/>
        </w:rPr>
      </w:pPr>
    </w:p>
    <w:p w14:paraId="241978AE" w14:textId="003781FB" w:rsidR="003E25A6" w:rsidRDefault="003E25A6" w:rsidP="00A3590E">
      <w:pPr>
        <w:jc w:val="both"/>
        <w:rPr>
          <w:rFonts w:ascii="Rockwell" w:hAnsi="Rockwell"/>
          <w:sz w:val="32"/>
          <w:szCs w:val="32"/>
        </w:rPr>
      </w:pPr>
    </w:p>
    <w:p w14:paraId="6C823AB2" w14:textId="5B12A790" w:rsidR="003E25A6" w:rsidRDefault="003E25A6" w:rsidP="00A3590E">
      <w:pPr>
        <w:jc w:val="both"/>
        <w:rPr>
          <w:rFonts w:ascii="Rockwell" w:hAnsi="Rockwell"/>
          <w:sz w:val="32"/>
          <w:szCs w:val="32"/>
        </w:rPr>
      </w:pPr>
    </w:p>
    <w:p w14:paraId="75B332ED" w14:textId="77777777" w:rsidR="003E25A6" w:rsidRDefault="003E25A6" w:rsidP="00A3590E">
      <w:pPr>
        <w:jc w:val="both"/>
        <w:rPr>
          <w:rFonts w:ascii="Rockwell" w:hAnsi="Rockwell"/>
          <w:sz w:val="32"/>
          <w:szCs w:val="32"/>
        </w:rPr>
      </w:pPr>
    </w:p>
    <w:p w14:paraId="1A6DAEC3" w14:textId="41E60172" w:rsidR="00A3590E" w:rsidRDefault="00A3590E" w:rsidP="00A3590E">
      <w:pPr>
        <w:jc w:val="both"/>
        <w:rPr>
          <w:rFonts w:ascii="Rockwell" w:hAnsi="Rockwell"/>
          <w:sz w:val="32"/>
          <w:szCs w:val="32"/>
        </w:rPr>
      </w:pPr>
    </w:p>
    <w:p w14:paraId="235C8DB3" w14:textId="77777777" w:rsidR="00A3590E" w:rsidRDefault="00A3590E" w:rsidP="00A3590E">
      <w:pPr>
        <w:jc w:val="both"/>
        <w:rPr>
          <w:rFonts w:ascii="Rockwell" w:hAnsi="Rockwell"/>
          <w:b/>
          <w:sz w:val="56"/>
          <w:szCs w:val="56"/>
          <w:u w:val="single"/>
        </w:rPr>
      </w:pPr>
      <w:r>
        <w:rPr>
          <w:rFonts w:ascii="Rockwell" w:hAnsi="Rockwell"/>
          <w:b/>
          <w:sz w:val="56"/>
          <w:szCs w:val="56"/>
          <w:u w:val="single"/>
        </w:rPr>
        <w:t xml:space="preserve">CHAP. 3 : LIQUIDATION &amp; </w:t>
      </w:r>
    </w:p>
    <w:p w14:paraId="48B6732F" w14:textId="30B4C3DA" w:rsidR="00A3590E" w:rsidRPr="00A3590E" w:rsidRDefault="00A3590E" w:rsidP="00A3590E">
      <w:pPr>
        <w:jc w:val="both"/>
        <w:rPr>
          <w:rFonts w:ascii="Rockwell" w:hAnsi="Rockwell"/>
          <w:sz w:val="32"/>
          <w:szCs w:val="32"/>
        </w:rPr>
      </w:pPr>
      <w:r>
        <w:rPr>
          <w:rFonts w:ascii="Rockwell" w:hAnsi="Rockwell"/>
          <w:b/>
          <w:sz w:val="56"/>
          <w:szCs w:val="56"/>
          <w:u w:val="single"/>
        </w:rPr>
        <w:t>PAIEMENT DE L’IS</w:t>
      </w:r>
    </w:p>
    <w:p w14:paraId="5733C749" w14:textId="1CD9C261" w:rsidR="0096240E" w:rsidRDefault="0096240E" w:rsidP="0096240E">
      <w:pPr>
        <w:jc w:val="both"/>
        <w:rPr>
          <w:rFonts w:ascii="Rockwell" w:hAnsi="Rockwell"/>
          <w:b/>
          <w:sz w:val="32"/>
          <w:szCs w:val="32"/>
          <w:u w:val="single"/>
        </w:rPr>
      </w:pPr>
    </w:p>
    <w:p w14:paraId="6902B5D0" w14:textId="77777777" w:rsidR="00BB6CFB" w:rsidRPr="00D16394" w:rsidRDefault="00BB6CFB" w:rsidP="0096240E">
      <w:pPr>
        <w:jc w:val="both"/>
        <w:rPr>
          <w:rFonts w:ascii="Rockwell" w:hAnsi="Rockwell"/>
          <w:b/>
          <w:sz w:val="32"/>
          <w:szCs w:val="32"/>
          <w:u w:val="single"/>
        </w:rPr>
      </w:pPr>
    </w:p>
    <w:p w14:paraId="47625B7C" w14:textId="46685B80" w:rsidR="00A3590E" w:rsidRPr="00BB6CFB" w:rsidRDefault="00131201" w:rsidP="00A3590E">
      <w:pPr>
        <w:jc w:val="both"/>
        <w:rPr>
          <w:rFonts w:ascii="Rockwell" w:hAnsi="Rockwell"/>
          <w:b/>
          <w:bCs/>
          <w:sz w:val="40"/>
          <w:szCs w:val="40"/>
          <w:u w:val="single"/>
        </w:rPr>
      </w:pPr>
      <w:r w:rsidRPr="00BB6CFB">
        <w:rPr>
          <w:rFonts w:ascii="Rockwell" w:hAnsi="Rockwell"/>
          <w:b/>
          <w:bCs/>
          <w:sz w:val="40"/>
          <w:szCs w:val="40"/>
          <w:u w:val="single"/>
        </w:rPr>
        <w:t>Section 1 : Les taux de l’IS</w:t>
      </w:r>
    </w:p>
    <w:p w14:paraId="45259A78" w14:textId="777FF9C4" w:rsidR="00D33CF3" w:rsidRDefault="00D33CF3" w:rsidP="00CC63CC">
      <w:pPr>
        <w:jc w:val="both"/>
        <w:rPr>
          <w:rFonts w:ascii="Rockwell" w:hAnsi="Rockwell"/>
          <w:sz w:val="32"/>
          <w:szCs w:val="32"/>
        </w:rPr>
      </w:pPr>
    </w:p>
    <w:p w14:paraId="039DDF0D" w14:textId="428A69E5" w:rsidR="00C66DE0" w:rsidRDefault="00C66DE0" w:rsidP="00CC63CC">
      <w:pPr>
        <w:jc w:val="both"/>
        <w:rPr>
          <w:rFonts w:ascii="Rockwell" w:hAnsi="Rockwell"/>
          <w:sz w:val="32"/>
          <w:szCs w:val="32"/>
        </w:rPr>
      </w:pPr>
      <w:r>
        <w:rPr>
          <w:rFonts w:ascii="Rockwell" w:hAnsi="Rockwell"/>
          <w:sz w:val="32"/>
          <w:szCs w:val="32"/>
        </w:rPr>
        <w:t>Jusqu’en 2018, un taux unique de 33,33% s’appliquait de façon aveugle. La Loi de Finances pour 2018 a décidé d’abaisser progressivement le taux à 28% pour les bénéfices inféri</w:t>
      </w:r>
      <w:r w:rsidR="00BB4629">
        <w:rPr>
          <w:rFonts w:ascii="Rockwell" w:hAnsi="Rockwell"/>
          <w:sz w:val="32"/>
          <w:szCs w:val="32"/>
        </w:rPr>
        <w:t>eurs à 500 000 euros</w:t>
      </w:r>
      <w:r w:rsidR="00A51671">
        <w:rPr>
          <w:rFonts w:ascii="Rockwell" w:hAnsi="Rockwell"/>
          <w:sz w:val="32"/>
          <w:szCs w:val="32"/>
        </w:rPr>
        <w:t xml:space="preserve"> et 33,33% au-delà</w:t>
      </w:r>
      <w:r>
        <w:rPr>
          <w:rFonts w:ascii="Rockwell" w:hAnsi="Rockwell"/>
          <w:sz w:val="32"/>
          <w:szCs w:val="32"/>
        </w:rPr>
        <w:t>. La Loi de Finances a programmé une baisse à 25%</w:t>
      </w:r>
      <w:r w:rsidR="00A51671">
        <w:rPr>
          <w:rFonts w:ascii="Rockwell" w:hAnsi="Rockwell"/>
          <w:sz w:val="32"/>
          <w:szCs w:val="32"/>
        </w:rPr>
        <w:t xml:space="preserve"> dès 2022. La Loi de Finances pour 2020 a généralisé le taux de 28% </w:t>
      </w:r>
      <w:r w:rsidR="0064787F">
        <w:rPr>
          <w:rFonts w:ascii="Rockwell" w:hAnsi="Rockwell"/>
          <w:sz w:val="32"/>
          <w:szCs w:val="32"/>
        </w:rPr>
        <w:t xml:space="preserve">sous le plafond et 31% au-delà. Pour 2021, on a prévu 26,5% et 27,5% et le grand changement est prévu pour 2022 avec un taux unique de 25% sans plafond. </w:t>
      </w:r>
    </w:p>
    <w:p w14:paraId="53FCC5CD" w14:textId="77777777" w:rsidR="007F51F8" w:rsidRDefault="007F51F8" w:rsidP="00CC63CC">
      <w:pPr>
        <w:jc w:val="both"/>
        <w:rPr>
          <w:rFonts w:ascii="Rockwell" w:hAnsi="Rockwell"/>
          <w:sz w:val="32"/>
          <w:szCs w:val="32"/>
        </w:rPr>
      </w:pPr>
    </w:p>
    <w:p w14:paraId="233D3B5E" w14:textId="580B1ED1" w:rsidR="007F51F8" w:rsidRDefault="007F51F8" w:rsidP="007F51F8">
      <w:pPr>
        <w:jc w:val="center"/>
        <w:rPr>
          <w:rFonts w:ascii="Rockwell" w:hAnsi="Rockwell"/>
          <w:sz w:val="32"/>
          <w:szCs w:val="32"/>
        </w:rPr>
      </w:pPr>
      <w:r>
        <w:rPr>
          <w:rFonts w:ascii="Rockwell" w:hAnsi="Rockwell"/>
          <w:sz w:val="32"/>
          <w:szCs w:val="32"/>
        </w:rPr>
        <w:t>Les taux de l’IS</w:t>
      </w:r>
    </w:p>
    <w:tbl>
      <w:tblPr>
        <w:tblStyle w:val="Grilledutableau"/>
        <w:tblW w:w="0" w:type="auto"/>
        <w:tblLook w:val="04A0" w:firstRow="1" w:lastRow="0" w:firstColumn="1" w:lastColumn="0" w:noHBand="0" w:noVBand="1"/>
      </w:tblPr>
      <w:tblGrid>
        <w:gridCol w:w="1698"/>
        <w:gridCol w:w="1698"/>
        <w:gridCol w:w="1698"/>
        <w:gridCol w:w="1698"/>
        <w:gridCol w:w="1698"/>
        <w:gridCol w:w="1698"/>
      </w:tblGrid>
      <w:tr w:rsidR="007F51F8" w14:paraId="5BBE8B3E" w14:textId="77777777" w:rsidTr="007F51F8">
        <w:tc>
          <w:tcPr>
            <w:tcW w:w="1698" w:type="dxa"/>
          </w:tcPr>
          <w:p w14:paraId="0096BAA9" w14:textId="77777777" w:rsidR="007F51F8" w:rsidRDefault="007F51F8" w:rsidP="00CC63CC">
            <w:pPr>
              <w:jc w:val="both"/>
              <w:rPr>
                <w:rFonts w:ascii="Rockwell" w:hAnsi="Rockwell"/>
                <w:sz w:val="32"/>
                <w:szCs w:val="32"/>
              </w:rPr>
            </w:pPr>
          </w:p>
        </w:tc>
        <w:tc>
          <w:tcPr>
            <w:tcW w:w="1698" w:type="dxa"/>
          </w:tcPr>
          <w:p w14:paraId="31839054" w14:textId="1C554324" w:rsidR="007F51F8" w:rsidRDefault="007F51F8" w:rsidP="007F51F8">
            <w:pPr>
              <w:jc w:val="right"/>
              <w:rPr>
                <w:rFonts w:ascii="Rockwell" w:hAnsi="Rockwell"/>
                <w:sz w:val="32"/>
                <w:szCs w:val="32"/>
              </w:rPr>
            </w:pPr>
            <w:r>
              <w:rPr>
                <w:rFonts w:ascii="Rockwell" w:hAnsi="Rockwell"/>
                <w:sz w:val="32"/>
                <w:szCs w:val="32"/>
              </w:rPr>
              <w:t>2018</w:t>
            </w:r>
          </w:p>
        </w:tc>
        <w:tc>
          <w:tcPr>
            <w:tcW w:w="1698" w:type="dxa"/>
          </w:tcPr>
          <w:p w14:paraId="1F44C36E" w14:textId="0DFD8C8E" w:rsidR="007F51F8" w:rsidRDefault="007F51F8" w:rsidP="007F51F8">
            <w:pPr>
              <w:jc w:val="right"/>
              <w:rPr>
                <w:rFonts w:ascii="Rockwell" w:hAnsi="Rockwell"/>
                <w:sz w:val="32"/>
                <w:szCs w:val="32"/>
              </w:rPr>
            </w:pPr>
            <w:r>
              <w:rPr>
                <w:rFonts w:ascii="Rockwell" w:hAnsi="Rockwell"/>
                <w:sz w:val="32"/>
                <w:szCs w:val="32"/>
              </w:rPr>
              <w:t>2019</w:t>
            </w:r>
          </w:p>
        </w:tc>
        <w:tc>
          <w:tcPr>
            <w:tcW w:w="1698" w:type="dxa"/>
          </w:tcPr>
          <w:p w14:paraId="2C0A1AEE" w14:textId="5305DA35" w:rsidR="007F51F8" w:rsidRDefault="007F51F8" w:rsidP="007F51F8">
            <w:pPr>
              <w:jc w:val="right"/>
              <w:rPr>
                <w:rFonts w:ascii="Rockwell" w:hAnsi="Rockwell"/>
                <w:sz w:val="32"/>
                <w:szCs w:val="32"/>
              </w:rPr>
            </w:pPr>
            <w:r>
              <w:rPr>
                <w:rFonts w:ascii="Rockwell" w:hAnsi="Rockwell"/>
                <w:sz w:val="32"/>
                <w:szCs w:val="32"/>
              </w:rPr>
              <w:t>2020</w:t>
            </w:r>
          </w:p>
        </w:tc>
        <w:tc>
          <w:tcPr>
            <w:tcW w:w="1698" w:type="dxa"/>
          </w:tcPr>
          <w:p w14:paraId="1AB7F4FE" w14:textId="22910D0E" w:rsidR="007F51F8" w:rsidRDefault="007F51F8" w:rsidP="007F51F8">
            <w:pPr>
              <w:jc w:val="right"/>
              <w:rPr>
                <w:rFonts w:ascii="Rockwell" w:hAnsi="Rockwell"/>
                <w:sz w:val="32"/>
                <w:szCs w:val="32"/>
              </w:rPr>
            </w:pPr>
            <w:r>
              <w:rPr>
                <w:rFonts w:ascii="Rockwell" w:hAnsi="Rockwell"/>
                <w:sz w:val="32"/>
                <w:szCs w:val="32"/>
              </w:rPr>
              <w:t>2021</w:t>
            </w:r>
          </w:p>
        </w:tc>
        <w:tc>
          <w:tcPr>
            <w:tcW w:w="1698" w:type="dxa"/>
          </w:tcPr>
          <w:p w14:paraId="1E3E6BE9" w14:textId="31AE97D8" w:rsidR="007F51F8" w:rsidRDefault="007F51F8" w:rsidP="007F51F8">
            <w:pPr>
              <w:jc w:val="right"/>
              <w:rPr>
                <w:rFonts w:ascii="Rockwell" w:hAnsi="Rockwell"/>
                <w:sz w:val="32"/>
                <w:szCs w:val="32"/>
              </w:rPr>
            </w:pPr>
            <w:r>
              <w:rPr>
                <w:rFonts w:ascii="Rockwell" w:hAnsi="Rockwell"/>
                <w:sz w:val="32"/>
                <w:szCs w:val="32"/>
              </w:rPr>
              <w:t>2022</w:t>
            </w:r>
          </w:p>
        </w:tc>
      </w:tr>
      <w:tr w:rsidR="007F51F8" w14:paraId="58EAF768" w14:textId="77777777" w:rsidTr="007F51F8">
        <w:tc>
          <w:tcPr>
            <w:tcW w:w="1698" w:type="dxa"/>
          </w:tcPr>
          <w:p w14:paraId="37F0B78E" w14:textId="1204176F" w:rsidR="007F51F8" w:rsidRDefault="007F51F8" w:rsidP="00CC63CC">
            <w:pPr>
              <w:jc w:val="both"/>
              <w:rPr>
                <w:rFonts w:ascii="Rockwell" w:hAnsi="Rockwell"/>
                <w:sz w:val="32"/>
                <w:szCs w:val="32"/>
              </w:rPr>
            </w:pPr>
            <w:r>
              <w:rPr>
                <w:rFonts w:ascii="Rockwell" w:hAnsi="Rockwell"/>
                <w:sz w:val="32"/>
                <w:szCs w:val="32"/>
              </w:rPr>
              <w:t>1</w:t>
            </w:r>
          </w:p>
        </w:tc>
        <w:tc>
          <w:tcPr>
            <w:tcW w:w="1698" w:type="dxa"/>
          </w:tcPr>
          <w:p w14:paraId="28BEA5A5" w14:textId="215AC8E4" w:rsidR="007F51F8" w:rsidRDefault="007F51F8" w:rsidP="007F51F8">
            <w:pPr>
              <w:jc w:val="right"/>
              <w:rPr>
                <w:rFonts w:ascii="Rockwell" w:hAnsi="Rockwell"/>
                <w:sz w:val="32"/>
                <w:szCs w:val="32"/>
              </w:rPr>
            </w:pPr>
            <w:r>
              <w:rPr>
                <w:rFonts w:ascii="Rockwell" w:hAnsi="Rockwell"/>
                <w:sz w:val="32"/>
                <w:szCs w:val="32"/>
              </w:rPr>
              <w:t>28%</w:t>
            </w:r>
          </w:p>
        </w:tc>
        <w:tc>
          <w:tcPr>
            <w:tcW w:w="1698" w:type="dxa"/>
          </w:tcPr>
          <w:p w14:paraId="34E5635D" w14:textId="5F5B207D" w:rsidR="007F51F8" w:rsidRDefault="007F51F8" w:rsidP="007F51F8">
            <w:pPr>
              <w:jc w:val="right"/>
              <w:rPr>
                <w:rFonts w:ascii="Rockwell" w:hAnsi="Rockwell"/>
                <w:sz w:val="32"/>
                <w:szCs w:val="32"/>
              </w:rPr>
            </w:pPr>
            <w:r>
              <w:rPr>
                <w:rFonts w:ascii="Rockwell" w:hAnsi="Rockwell"/>
                <w:sz w:val="32"/>
                <w:szCs w:val="32"/>
              </w:rPr>
              <w:t>31%</w:t>
            </w:r>
          </w:p>
        </w:tc>
        <w:tc>
          <w:tcPr>
            <w:tcW w:w="1698" w:type="dxa"/>
          </w:tcPr>
          <w:p w14:paraId="5F21B801" w14:textId="2B696375" w:rsidR="007F51F8" w:rsidRDefault="007F51F8" w:rsidP="007F51F8">
            <w:pPr>
              <w:jc w:val="right"/>
              <w:rPr>
                <w:rFonts w:ascii="Rockwell" w:hAnsi="Rockwell"/>
                <w:sz w:val="32"/>
                <w:szCs w:val="32"/>
              </w:rPr>
            </w:pPr>
            <w:r>
              <w:rPr>
                <w:rFonts w:ascii="Rockwell" w:hAnsi="Rockwell"/>
                <w:sz w:val="32"/>
                <w:szCs w:val="32"/>
              </w:rPr>
              <w:t>28%</w:t>
            </w:r>
          </w:p>
        </w:tc>
        <w:tc>
          <w:tcPr>
            <w:tcW w:w="1698" w:type="dxa"/>
          </w:tcPr>
          <w:p w14:paraId="2B9CFAAC" w14:textId="3651EFFD" w:rsidR="007F51F8" w:rsidRDefault="007F51F8" w:rsidP="007F51F8">
            <w:pPr>
              <w:jc w:val="right"/>
              <w:rPr>
                <w:rFonts w:ascii="Rockwell" w:hAnsi="Rockwell"/>
                <w:sz w:val="32"/>
                <w:szCs w:val="32"/>
              </w:rPr>
            </w:pPr>
            <w:r>
              <w:rPr>
                <w:rFonts w:ascii="Rockwell" w:hAnsi="Rockwell"/>
                <w:sz w:val="32"/>
                <w:szCs w:val="32"/>
              </w:rPr>
              <w:t>26,5%</w:t>
            </w:r>
          </w:p>
        </w:tc>
        <w:tc>
          <w:tcPr>
            <w:tcW w:w="1698" w:type="dxa"/>
          </w:tcPr>
          <w:p w14:paraId="40495913" w14:textId="00D3C339" w:rsidR="007F51F8" w:rsidRDefault="007F51F8" w:rsidP="007F51F8">
            <w:pPr>
              <w:jc w:val="right"/>
              <w:rPr>
                <w:rFonts w:ascii="Rockwell" w:hAnsi="Rockwell"/>
                <w:sz w:val="32"/>
                <w:szCs w:val="32"/>
              </w:rPr>
            </w:pPr>
            <w:r>
              <w:rPr>
                <w:rFonts w:ascii="Rockwell" w:hAnsi="Rockwell"/>
                <w:sz w:val="32"/>
                <w:szCs w:val="32"/>
              </w:rPr>
              <w:t>25%</w:t>
            </w:r>
          </w:p>
        </w:tc>
      </w:tr>
      <w:tr w:rsidR="007F51F8" w14:paraId="0E4230C2" w14:textId="77777777" w:rsidTr="007F51F8">
        <w:tc>
          <w:tcPr>
            <w:tcW w:w="1698" w:type="dxa"/>
          </w:tcPr>
          <w:p w14:paraId="492231E3" w14:textId="4203A842" w:rsidR="007F51F8" w:rsidRDefault="007F51F8" w:rsidP="00CC63CC">
            <w:pPr>
              <w:jc w:val="both"/>
              <w:rPr>
                <w:rFonts w:ascii="Rockwell" w:hAnsi="Rockwell"/>
                <w:sz w:val="32"/>
                <w:szCs w:val="32"/>
              </w:rPr>
            </w:pPr>
            <w:r>
              <w:rPr>
                <w:rFonts w:ascii="Rockwell" w:hAnsi="Rockwell"/>
                <w:sz w:val="32"/>
                <w:szCs w:val="32"/>
              </w:rPr>
              <w:t>2</w:t>
            </w:r>
          </w:p>
        </w:tc>
        <w:tc>
          <w:tcPr>
            <w:tcW w:w="1698" w:type="dxa"/>
          </w:tcPr>
          <w:p w14:paraId="3FE0BAE4" w14:textId="32D98F4C" w:rsidR="007F51F8" w:rsidRDefault="007F51F8" w:rsidP="007F51F8">
            <w:pPr>
              <w:jc w:val="right"/>
              <w:rPr>
                <w:rFonts w:ascii="Rockwell" w:hAnsi="Rockwell"/>
                <w:sz w:val="32"/>
                <w:szCs w:val="32"/>
              </w:rPr>
            </w:pPr>
            <w:r>
              <w:rPr>
                <w:rFonts w:ascii="Rockwell" w:hAnsi="Rockwell"/>
                <w:sz w:val="32"/>
                <w:szCs w:val="32"/>
              </w:rPr>
              <w:t>31%</w:t>
            </w:r>
          </w:p>
        </w:tc>
        <w:tc>
          <w:tcPr>
            <w:tcW w:w="1698" w:type="dxa"/>
          </w:tcPr>
          <w:p w14:paraId="2B6E861C" w14:textId="45FA38FF" w:rsidR="007F51F8" w:rsidRDefault="007F51F8" w:rsidP="007F51F8">
            <w:pPr>
              <w:jc w:val="right"/>
              <w:rPr>
                <w:rFonts w:ascii="Rockwell" w:hAnsi="Rockwell"/>
                <w:sz w:val="32"/>
                <w:szCs w:val="32"/>
              </w:rPr>
            </w:pPr>
            <w:r>
              <w:rPr>
                <w:rFonts w:ascii="Rockwell" w:hAnsi="Rockwell"/>
                <w:sz w:val="32"/>
                <w:szCs w:val="32"/>
              </w:rPr>
              <w:t>33,33%</w:t>
            </w:r>
          </w:p>
        </w:tc>
        <w:tc>
          <w:tcPr>
            <w:tcW w:w="1698" w:type="dxa"/>
          </w:tcPr>
          <w:p w14:paraId="4A1BAC60" w14:textId="05194AA9" w:rsidR="007F51F8" w:rsidRDefault="007F51F8" w:rsidP="007F51F8">
            <w:pPr>
              <w:jc w:val="right"/>
              <w:rPr>
                <w:rFonts w:ascii="Rockwell" w:hAnsi="Rockwell"/>
                <w:sz w:val="32"/>
                <w:szCs w:val="32"/>
              </w:rPr>
            </w:pPr>
            <w:r>
              <w:rPr>
                <w:rFonts w:ascii="Rockwell" w:hAnsi="Rockwell"/>
                <w:sz w:val="32"/>
                <w:szCs w:val="32"/>
              </w:rPr>
              <w:t>31%</w:t>
            </w:r>
          </w:p>
        </w:tc>
        <w:tc>
          <w:tcPr>
            <w:tcW w:w="1698" w:type="dxa"/>
          </w:tcPr>
          <w:p w14:paraId="22B0AE4D" w14:textId="00709867" w:rsidR="007F51F8" w:rsidRDefault="007F51F8" w:rsidP="007F51F8">
            <w:pPr>
              <w:jc w:val="right"/>
              <w:rPr>
                <w:rFonts w:ascii="Rockwell" w:hAnsi="Rockwell"/>
                <w:sz w:val="32"/>
                <w:szCs w:val="32"/>
              </w:rPr>
            </w:pPr>
            <w:r>
              <w:rPr>
                <w:rFonts w:ascii="Rockwell" w:hAnsi="Rockwell"/>
                <w:sz w:val="32"/>
                <w:szCs w:val="32"/>
              </w:rPr>
              <w:t>27,5%</w:t>
            </w:r>
          </w:p>
        </w:tc>
        <w:tc>
          <w:tcPr>
            <w:tcW w:w="1698" w:type="dxa"/>
          </w:tcPr>
          <w:p w14:paraId="6F1B8820" w14:textId="7A935293" w:rsidR="007F51F8" w:rsidRDefault="007F51F8" w:rsidP="007F51F8">
            <w:pPr>
              <w:jc w:val="right"/>
              <w:rPr>
                <w:rFonts w:ascii="Rockwell" w:hAnsi="Rockwell"/>
                <w:sz w:val="32"/>
                <w:szCs w:val="32"/>
              </w:rPr>
            </w:pPr>
            <w:r>
              <w:rPr>
                <w:rFonts w:ascii="Rockwell" w:hAnsi="Rockwell"/>
                <w:sz w:val="32"/>
                <w:szCs w:val="32"/>
              </w:rPr>
              <w:t>25%</w:t>
            </w:r>
          </w:p>
        </w:tc>
      </w:tr>
    </w:tbl>
    <w:p w14:paraId="60272033" w14:textId="77777777" w:rsidR="007F51F8" w:rsidRDefault="007F51F8" w:rsidP="00CC63CC">
      <w:pPr>
        <w:jc w:val="both"/>
        <w:rPr>
          <w:rFonts w:ascii="Rockwell" w:hAnsi="Rockwell"/>
          <w:sz w:val="32"/>
          <w:szCs w:val="32"/>
        </w:rPr>
      </w:pPr>
    </w:p>
    <w:p w14:paraId="5178A720" w14:textId="77777777" w:rsidR="0064787F" w:rsidRDefault="0064787F" w:rsidP="00CC63CC">
      <w:pPr>
        <w:jc w:val="both"/>
        <w:rPr>
          <w:rFonts w:ascii="Rockwell" w:hAnsi="Rockwell"/>
          <w:sz w:val="32"/>
          <w:szCs w:val="32"/>
        </w:rPr>
      </w:pPr>
    </w:p>
    <w:p w14:paraId="166BD028" w14:textId="2E06CE66" w:rsidR="007C1AC7" w:rsidRPr="00131201" w:rsidRDefault="00131201" w:rsidP="00D360D1">
      <w:pPr>
        <w:shd w:val="clear" w:color="auto" w:fill="FFFFFF"/>
        <w:spacing w:after="240"/>
        <w:rPr>
          <w:rFonts w:ascii="Arial" w:hAnsi="Arial" w:cs="Arial"/>
          <w:b/>
          <w:color w:val="414856"/>
          <w:u w:val="single"/>
          <w:lang w:eastAsia="fr-FR"/>
        </w:rPr>
      </w:pPr>
      <w:r w:rsidRPr="00131201">
        <w:rPr>
          <w:rFonts w:ascii="Arial" w:hAnsi="Arial" w:cs="Arial"/>
          <w:b/>
          <w:color w:val="414856"/>
          <w:u w:val="single"/>
          <w:lang w:eastAsia="fr-FR"/>
        </w:rPr>
        <w:t xml:space="preserve">A/ </w:t>
      </w:r>
      <w:r w:rsidR="007C1AC7" w:rsidRPr="00131201">
        <w:rPr>
          <w:rFonts w:ascii="Arial" w:hAnsi="Arial" w:cs="Arial"/>
          <w:b/>
          <w:color w:val="414856"/>
          <w:u w:val="single"/>
          <w:lang w:eastAsia="fr-FR"/>
        </w:rPr>
        <w:t>TAUX NORMAL</w:t>
      </w:r>
    </w:p>
    <w:p w14:paraId="16FDBB28" w14:textId="411D4FCB" w:rsidR="00D360D1" w:rsidRPr="00D360D1" w:rsidRDefault="00D360D1" w:rsidP="00D360D1">
      <w:pPr>
        <w:shd w:val="clear" w:color="auto" w:fill="FFFFFF"/>
        <w:spacing w:after="240"/>
        <w:rPr>
          <w:rFonts w:ascii="Arial" w:hAnsi="Arial" w:cs="Arial"/>
          <w:color w:val="414856"/>
          <w:lang w:eastAsia="fr-FR"/>
        </w:rPr>
      </w:pPr>
      <w:r w:rsidRPr="00D360D1">
        <w:rPr>
          <w:rFonts w:ascii="Arial" w:hAnsi="Arial" w:cs="Arial"/>
          <w:color w:val="414856"/>
          <w:lang w:eastAsia="fr-FR"/>
        </w:rPr>
        <w:t>Pour les exercices ouverts </w:t>
      </w:r>
      <w:r w:rsidRPr="00D360D1">
        <w:rPr>
          <w:rFonts w:ascii="Arial" w:hAnsi="Arial" w:cs="Arial"/>
          <w:b/>
          <w:bCs/>
          <w:color w:val="414856"/>
          <w:lang w:eastAsia="fr-FR"/>
        </w:rPr>
        <w:t>du 1</w:t>
      </w:r>
      <w:r w:rsidRPr="00D360D1">
        <w:rPr>
          <w:rFonts w:ascii="Arial" w:hAnsi="Arial" w:cs="Arial"/>
          <w:b/>
          <w:bCs/>
          <w:color w:val="414856"/>
          <w:sz w:val="18"/>
          <w:szCs w:val="18"/>
          <w:vertAlign w:val="superscript"/>
          <w:lang w:eastAsia="fr-FR"/>
        </w:rPr>
        <w:t>er</w:t>
      </w:r>
      <w:r w:rsidRPr="00D360D1">
        <w:rPr>
          <w:rFonts w:ascii="Arial" w:hAnsi="Arial" w:cs="Arial"/>
          <w:b/>
          <w:bCs/>
          <w:color w:val="414856"/>
          <w:lang w:eastAsia="fr-FR"/>
        </w:rPr>
        <w:t> janvier au 31 décembre 2020</w:t>
      </w:r>
      <w:r w:rsidRPr="00D360D1">
        <w:rPr>
          <w:rFonts w:ascii="Arial" w:hAnsi="Arial" w:cs="Arial"/>
          <w:color w:val="414856"/>
          <w:lang w:eastAsia="fr-FR"/>
        </w:rPr>
        <w:t>, le taux normal de l'IS est de 28 % sur la totalité du résultat fiscal.</w:t>
      </w:r>
    </w:p>
    <w:p w14:paraId="1F01B7B6" w14:textId="5266F008" w:rsidR="00D360D1" w:rsidRPr="00D360D1" w:rsidRDefault="00D360D1" w:rsidP="00D360D1">
      <w:pPr>
        <w:shd w:val="clear" w:color="auto" w:fill="FFFFFF"/>
        <w:spacing w:after="240"/>
        <w:rPr>
          <w:rFonts w:ascii="Arial" w:hAnsi="Arial" w:cs="Arial"/>
          <w:color w:val="414856"/>
          <w:lang w:eastAsia="fr-FR"/>
        </w:rPr>
      </w:pPr>
      <w:r w:rsidRPr="00D360D1">
        <w:rPr>
          <w:rFonts w:ascii="Arial" w:hAnsi="Arial" w:cs="Arial"/>
          <w:color w:val="414856"/>
          <w:lang w:eastAsia="fr-FR"/>
        </w:rPr>
        <w:lastRenderedPageBreak/>
        <w:t xml:space="preserve">Il existe une dérogation pour les </w:t>
      </w:r>
      <w:r w:rsidR="005B5908">
        <w:rPr>
          <w:rFonts w:ascii="Arial" w:hAnsi="Arial" w:cs="Arial"/>
          <w:color w:val="414856"/>
          <w:lang w:eastAsia="fr-FR"/>
        </w:rPr>
        <w:t xml:space="preserve">grosses </w:t>
      </w:r>
      <w:r w:rsidRPr="00D360D1">
        <w:rPr>
          <w:rFonts w:ascii="Arial" w:hAnsi="Arial" w:cs="Arial"/>
          <w:color w:val="414856"/>
          <w:lang w:eastAsia="fr-FR"/>
        </w:rPr>
        <w:t>entreprises ayant réalisé un chiffre d'affaires d'au moins 250 millions € au cours de ces mêmes exercices. Les taux normaux de l'impôt sur les sociétés qui s'appliquent à ces dernières sont</w:t>
      </w:r>
    </w:p>
    <w:p w14:paraId="1FF19437" w14:textId="77777777" w:rsidR="00D360D1" w:rsidRPr="00D360D1" w:rsidRDefault="00D360D1" w:rsidP="00D360D1">
      <w:pPr>
        <w:numPr>
          <w:ilvl w:val="0"/>
          <w:numId w:val="1"/>
        </w:numPr>
        <w:shd w:val="clear" w:color="auto" w:fill="FFFFFF"/>
        <w:spacing w:before="100" w:beforeAutospacing="1" w:after="100" w:afterAutospacing="1"/>
        <w:rPr>
          <w:rFonts w:ascii="Arial" w:eastAsia="Times New Roman" w:hAnsi="Arial" w:cs="Arial"/>
          <w:color w:val="414856"/>
          <w:lang w:eastAsia="fr-FR"/>
        </w:rPr>
      </w:pPr>
      <w:r w:rsidRPr="00D360D1">
        <w:rPr>
          <w:rFonts w:ascii="Arial" w:eastAsia="Times New Roman" w:hAnsi="Arial" w:cs="Arial"/>
          <w:color w:val="414856"/>
          <w:lang w:eastAsia="fr-FR"/>
        </w:rPr>
        <w:t>de 28 % jusqu'à 500 000 €</w:t>
      </w:r>
    </w:p>
    <w:p w14:paraId="11CFC651" w14:textId="77777777" w:rsidR="00D360D1" w:rsidRPr="00D360D1" w:rsidRDefault="00D360D1" w:rsidP="00D360D1">
      <w:pPr>
        <w:numPr>
          <w:ilvl w:val="0"/>
          <w:numId w:val="1"/>
        </w:numPr>
        <w:shd w:val="clear" w:color="auto" w:fill="FFFFFF"/>
        <w:spacing w:before="100" w:beforeAutospacing="1" w:after="100" w:afterAutospacing="1"/>
        <w:rPr>
          <w:rFonts w:ascii="Arial" w:eastAsia="Times New Roman" w:hAnsi="Arial" w:cs="Arial"/>
          <w:color w:val="414856"/>
          <w:lang w:eastAsia="fr-FR"/>
        </w:rPr>
      </w:pPr>
      <w:r w:rsidRPr="00D360D1">
        <w:rPr>
          <w:rFonts w:ascii="Arial" w:eastAsia="Times New Roman" w:hAnsi="Arial" w:cs="Arial"/>
          <w:color w:val="414856"/>
          <w:lang w:eastAsia="fr-FR"/>
        </w:rPr>
        <w:t>et 31 % au-delà de cette somme.</w:t>
      </w:r>
    </w:p>
    <w:p w14:paraId="6AF7DE13" w14:textId="77777777" w:rsidR="00D360D1" w:rsidRPr="00D360D1" w:rsidRDefault="00D360D1" w:rsidP="00D360D1">
      <w:pPr>
        <w:shd w:val="clear" w:color="auto" w:fill="FFFFFF"/>
        <w:spacing w:after="240"/>
        <w:rPr>
          <w:rFonts w:ascii="Arial" w:hAnsi="Arial" w:cs="Arial"/>
          <w:color w:val="414856"/>
          <w:lang w:eastAsia="fr-FR"/>
        </w:rPr>
      </w:pPr>
      <w:r w:rsidRPr="00D360D1">
        <w:rPr>
          <w:rFonts w:ascii="Arial" w:hAnsi="Arial" w:cs="Arial"/>
          <w:color w:val="414856"/>
          <w:lang w:eastAsia="fr-FR"/>
        </w:rPr>
        <w:t>Les organismes à but non lucratif sont assujettis à des taux spécifiques de :</w:t>
      </w:r>
    </w:p>
    <w:p w14:paraId="420F7823" w14:textId="77777777" w:rsidR="00D360D1" w:rsidRPr="00D360D1" w:rsidRDefault="00D360D1" w:rsidP="00D360D1">
      <w:pPr>
        <w:numPr>
          <w:ilvl w:val="0"/>
          <w:numId w:val="2"/>
        </w:numPr>
        <w:shd w:val="clear" w:color="auto" w:fill="FFFFFF"/>
        <w:spacing w:before="100" w:beforeAutospacing="1" w:after="100" w:afterAutospacing="1"/>
        <w:rPr>
          <w:rFonts w:ascii="Arial" w:eastAsia="Times New Roman" w:hAnsi="Arial" w:cs="Arial"/>
          <w:color w:val="414856"/>
          <w:lang w:eastAsia="fr-FR"/>
        </w:rPr>
      </w:pPr>
      <w:r w:rsidRPr="00D360D1">
        <w:rPr>
          <w:rFonts w:ascii="Arial" w:eastAsia="Times New Roman" w:hAnsi="Arial" w:cs="Arial"/>
          <w:color w:val="414856"/>
          <w:lang w:eastAsia="fr-FR"/>
        </w:rPr>
        <w:t>24 % pour les revenus du patrimoine (locations immobilières, bénéfices agricoles, par exemple)</w:t>
      </w:r>
    </w:p>
    <w:p w14:paraId="7D5B0533" w14:textId="51BB43D7" w:rsidR="006A18EF" w:rsidRPr="006A18EF" w:rsidRDefault="00D360D1" w:rsidP="006A18EF">
      <w:pPr>
        <w:numPr>
          <w:ilvl w:val="0"/>
          <w:numId w:val="2"/>
        </w:numPr>
        <w:shd w:val="clear" w:color="auto" w:fill="FFFFFF"/>
        <w:spacing w:before="100" w:beforeAutospacing="1" w:after="100" w:afterAutospacing="1"/>
        <w:rPr>
          <w:rFonts w:ascii="Arial" w:eastAsia="Times New Roman" w:hAnsi="Arial" w:cs="Arial"/>
          <w:color w:val="414856"/>
          <w:lang w:eastAsia="fr-FR"/>
        </w:rPr>
      </w:pPr>
      <w:r w:rsidRPr="00D360D1">
        <w:rPr>
          <w:rFonts w:ascii="Arial" w:eastAsia="Times New Roman" w:hAnsi="Arial" w:cs="Arial"/>
          <w:color w:val="414856"/>
          <w:lang w:eastAsia="fr-FR"/>
        </w:rPr>
        <w:t>10 % pour les revenus mobil</w:t>
      </w:r>
      <w:r w:rsidR="006A18EF">
        <w:rPr>
          <w:rFonts w:ascii="Arial" w:eastAsia="Times New Roman" w:hAnsi="Arial" w:cs="Arial"/>
          <w:color w:val="414856"/>
          <w:lang w:eastAsia="fr-FR"/>
        </w:rPr>
        <w:t>iers (obligations, par exemple)</w:t>
      </w:r>
    </w:p>
    <w:p w14:paraId="51348A93" w14:textId="473E7F9A" w:rsidR="006A18EF" w:rsidRPr="00275FFF" w:rsidRDefault="006A18EF" w:rsidP="007C1AC7">
      <w:pPr>
        <w:shd w:val="clear" w:color="auto" w:fill="FFFFFF"/>
        <w:spacing w:before="100" w:beforeAutospacing="1" w:after="100" w:afterAutospacing="1"/>
        <w:rPr>
          <w:rFonts w:ascii="Arial" w:eastAsia="Times New Roman" w:hAnsi="Arial" w:cs="Arial"/>
          <w:b/>
          <w:color w:val="414856"/>
          <w:u w:val="single"/>
          <w:lang w:eastAsia="fr-FR"/>
        </w:rPr>
      </w:pPr>
      <w:r w:rsidRPr="00275FFF">
        <w:rPr>
          <w:rFonts w:ascii="Arial" w:eastAsia="Times New Roman" w:hAnsi="Arial" w:cs="Arial"/>
          <w:b/>
          <w:color w:val="414856"/>
          <w:u w:val="single"/>
          <w:lang w:eastAsia="fr-FR"/>
        </w:rPr>
        <w:t>Prenons un exemple concret</w:t>
      </w:r>
      <w:r w:rsidR="004B541D">
        <w:rPr>
          <w:rFonts w:ascii="Arial" w:eastAsia="Times New Roman" w:hAnsi="Arial" w:cs="Arial"/>
          <w:b/>
          <w:color w:val="414856"/>
          <w:u w:val="single"/>
          <w:lang w:eastAsia="fr-FR"/>
        </w:rPr>
        <w:t xml:space="preserve"> pour 2020</w:t>
      </w:r>
      <w:r w:rsidRPr="00275FFF">
        <w:rPr>
          <w:rFonts w:ascii="Arial" w:eastAsia="Times New Roman" w:hAnsi="Arial" w:cs="Arial"/>
          <w:b/>
          <w:color w:val="414856"/>
          <w:u w:val="single"/>
          <w:lang w:eastAsia="fr-FR"/>
        </w:rPr>
        <w:t> :</w:t>
      </w:r>
    </w:p>
    <w:p w14:paraId="2F01D086" w14:textId="62B3FE24" w:rsidR="00275FFF" w:rsidRDefault="00275FFF" w:rsidP="00275FFF">
      <w:pPr>
        <w:shd w:val="clear" w:color="auto" w:fill="FFFFFF"/>
        <w:spacing w:after="240"/>
        <w:rPr>
          <w:rFonts w:ascii="Arial" w:hAnsi="Arial" w:cs="Arial"/>
          <w:color w:val="414856"/>
          <w:lang w:eastAsia="fr-FR"/>
        </w:rPr>
      </w:pPr>
      <w:r>
        <w:rPr>
          <w:rFonts w:ascii="Arial" w:hAnsi="Arial" w:cs="Arial"/>
          <w:color w:val="414856"/>
          <w:lang w:eastAsia="fr-FR"/>
        </w:rPr>
        <w:t>Une PME dégage un CAHT de 1 000 000 € sur l’année 2020</w:t>
      </w:r>
    </w:p>
    <w:p w14:paraId="73A97FA4" w14:textId="6D80B56D" w:rsidR="00275FFF" w:rsidRDefault="00275FFF" w:rsidP="00275FFF">
      <w:pPr>
        <w:shd w:val="clear" w:color="auto" w:fill="FFFFFF"/>
        <w:spacing w:after="240"/>
        <w:rPr>
          <w:rFonts w:ascii="Arial" w:hAnsi="Arial" w:cs="Arial"/>
          <w:color w:val="414856"/>
          <w:lang w:eastAsia="fr-FR"/>
        </w:rPr>
      </w:pPr>
      <w:r>
        <w:rPr>
          <w:rFonts w:ascii="Arial" w:hAnsi="Arial" w:cs="Arial"/>
          <w:color w:val="414856"/>
          <w:lang w:eastAsia="fr-FR"/>
        </w:rPr>
        <w:t>La partie située en-dessous du seuil de 500 000 € sera taxée à 28%</w:t>
      </w:r>
    </w:p>
    <w:p w14:paraId="4892A40C" w14:textId="4B39FE7F" w:rsidR="00275FFF" w:rsidRDefault="00275FFF" w:rsidP="00275FFF">
      <w:pPr>
        <w:shd w:val="clear" w:color="auto" w:fill="FFFFFF"/>
        <w:spacing w:after="240"/>
        <w:rPr>
          <w:rFonts w:ascii="Arial" w:hAnsi="Arial" w:cs="Arial"/>
          <w:color w:val="414856"/>
          <w:lang w:eastAsia="fr-FR"/>
        </w:rPr>
      </w:pPr>
      <w:r>
        <w:rPr>
          <w:rFonts w:ascii="Arial" w:hAnsi="Arial" w:cs="Arial"/>
          <w:color w:val="414856"/>
          <w:lang w:eastAsia="fr-FR"/>
        </w:rPr>
        <w:t>500 000 € x 28% = 140 000 €</w:t>
      </w:r>
    </w:p>
    <w:p w14:paraId="3CAC48BC" w14:textId="1272680F" w:rsidR="00275FFF" w:rsidRDefault="00275FFF" w:rsidP="00275FFF">
      <w:pPr>
        <w:shd w:val="clear" w:color="auto" w:fill="FFFFFF"/>
        <w:spacing w:after="240"/>
        <w:rPr>
          <w:rFonts w:ascii="Arial" w:hAnsi="Arial" w:cs="Arial"/>
          <w:color w:val="414856"/>
          <w:lang w:eastAsia="fr-FR"/>
        </w:rPr>
      </w:pPr>
      <w:r>
        <w:rPr>
          <w:rFonts w:ascii="Arial" w:hAnsi="Arial" w:cs="Arial"/>
          <w:color w:val="414856"/>
          <w:lang w:eastAsia="fr-FR"/>
        </w:rPr>
        <w:t>La partie située au-dessus du seuil sera taxée à 31%</w:t>
      </w:r>
    </w:p>
    <w:p w14:paraId="386F2F1C" w14:textId="2C20DE9D" w:rsidR="00275FFF" w:rsidRDefault="00275FFF" w:rsidP="00275FFF">
      <w:pPr>
        <w:shd w:val="clear" w:color="auto" w:fill="FFFFFF"/>
        <w:spacing w:after="240"/>
        <w:rPr>
          <w:rFonts w:ascii="Arial" w:hAnsi="Arial" w:cs="Arial"/>
          <w:color w:val="414856"/>
          <w:lang w:eastAsia="fr-FR"/>
        </w:rPr>
      </w:pPr>
      <w:r>
        <w:rPr>
          <w:rFonts w:ascii="Arial" w:hAnsi="Arial" w:cs="Arial"/>
          <w:color w:val="414856"/>
          <w:lang w:eastAsia="fr-FR"/>
        </w:rPr>
        <w:t>500 000 € x 31% = 155 000 €</w:t>
      </w:r>
    </w:p>
    <w:p w14:paraId="1C6F24B5" w14:textId="37713FED" w:rsidR="00275FFF" w:rsidRPr="007C1AC7" w:rsidRDefault="00275FFF" w:rsidP="00275FFF">
      <w:pPr>
        <w:shd w:val="clear" w:color="auto" w:fill="FFFFFF"/>
        <w:spacing w:after="240"/>
        <w:rPr>
          <w:rFonts w:ascii="Arial" w:hAnsi="Arial" w:cs="Arial"/>
          <w:color w:val="414856"/>
          <w:lang w:eastAsia="fr-FR"/>
        </w:rPr>
      </w:pPr>
      <w:r>
        <w:rPr>
          <w:rFonts w:ascii="Arial" w:hAnsi="Arial" w:cs="Arial"/>
          <w:color w:val="414856"/>
          <w:lang w:eastAsia="fr-FR"/>
        </w:rPr>
        <w:t>Soit un total de 295 000 € ce qui revient à un taux moyen de 29,5%</w:t>
      </w:r>
    </w:p>
    <w:p w14:paraId="7BB9F1F9" w14:textId="77777777" w:rsidR="00275FFF" w:rsidRDefault="00275FFF" w:rsidP="007C1AC7">
      <w:pPr>
        <w:shd w:val="clear" w:color="auto" w:fill="FFFFFF"/>
        <w:spacing w:before="100" w:beforeAutospacing="1" w:after="100" w:afterAutospacing="1"/>
        <w:rPr>
          <w:rFonts w:ascii="Arial" w:eastAsia="Times New Roman" w:hAnsi="Arial" w:cs="Arial"/>
          <w:b/>
          <w:color w:val="414856"/>
          <w:lang w:eastAsia="fr-FR"/>
        </w:rPr>
      </w:pPr>
    </w:p>
    <w:p w14:paraId="1C8B009B" w14:textId="774F9E9C" w:rsidR="007C1AC7" w:rsidRPr="00131201" w:rsidRDefault="00131201" w:rsidP="007C1AC7">
      <w:pPr>
        <w:shd w:val="clear" w:color="auto" w:fill="FFFFFF"/>
        <w:spacing w:before="100" w:beforeAutospacing="1" w:after="100" w:afterAutospacing="1"/>
        <w:rPr>
          <w:rFonts w:ascii="Arial" w:eastAsia="Times New Roman" w:hAnsi="Arial" w:cs="Arial"/>
          <w:b/>
          <w:color w:val="414856"/>
          <w:u w:val="single"/>
          <w:lang w:eastAsia="fr-FR"/>
        </w:rPr>
      </w:pPr>
      <w:r w:rsidRPr="00131201">
        <w:rPr>
          <w:rFonts w:ascii="Arial" w:eastAsia="Times New Roman" w:hAnsi="Arial" w:cs="Arial"/>
          <w:b/>
          <w:color w:val="414856"/>
          <w:u w:val="single"/>
          <w:lang w:eastAsia="fr-FR"/>
        </w:rPr>
        <w:t xml:space="preserve">B/ </w:t>
      </w:r>
      <w:r w:rsidR="007C1AC7" w:rsidRPr="00131201">
        <w:rPr>
          <w:rFonts w:ascii="Arial" w:eastAsia="Times New Roman" w:hAnsi="Arial" w:cs="Arial"/>
          <w:b/>
          <w:color w:val="414856"/>
          <w:u w:val="single"/>
          <w:lang w:eastAsia="fr-FR"/>
        </w:rPr>
        <w:t xml:space="preserve">TAUX RÉDUIT </w:t>
      </w:r>
    </w:p>
    <w:p w14:paraId="0856F3F6" w14:textId="77777777" w:rsidR="007C1AC7" w:rsidRPr="007C1AC7" w:rsidRDefault="007C1AC7" w:rsidP="007C1AC7">
      <w:pPr>
        <w:shd w:val="clear" w:color="auto" w:fill="FFFFFF"/>
        <w:spacing w:after="240"/>
        <w:rPr>
          <w:rFonts w:ascii="Arial" w:hAnsi="Arial" w:cs="Arial"/>
          <w:color w:val="414856"/>
          <w:lang w:eastAsia="fr-FR"/>
        </w:rPr>
      </w:pPr>
      <w:r w:rsidRPr="007C1AC7">
        <w:rPr>
          <w:rFonts w:ascii="Arial" w:hAnsi="Arial" w:cs="Arial"/>
          <w:color w:val="414856"/>
          <w:lang w:eastAsia="fr-FR"/>
        </w:rPr>
        <w:t>Les taux réduits concernent les PME dont :</w:t>
      </w:r>
    </w:p>
    <w:p w14:paraId="0AD9DB12" w14:textId="77777777" w:rsidR="007C1AC7" w:rsidRPr="007C1AC7" w:rsidRDefault="007C1AC7" w:rsidP="007C1AC7">
      <w:pPr>
        <w:numPr>
          <w:ilvl w:val="0"/>
          <w:numId w:val="3"/>
        </w:numPr>
        <w:shd w:val="clear" w:color="auto" w:fill="FFFFFF"/>
        <w:spacing w:before="100" w:beforeAutospacing="1" w:after="100" w:afterAutospacing="1"/>
        <w:rPr>
          <w:rFonts w:ascii="Arial" w:eastAsia="Times New Roman" w:hAnsi="Arial" w:cs="Arial"/>
          <w:color w:val="414856"/>
          <w:lang w:eastAsia="fr-FR"/>
        </w:rPr>
      </w:pPr>
      <w:r w:rsidRPr="007C1AC7">
        <w:rPr>
          <w:rFonts w:ascii="Arial" w:eastAsia="Times New Roman" w:hAnsi="Arial" w:cs="Arial"/>
          <w:color w:val="414856"/>
          <w:lang w:eastAsia="fr-FR"/>
        </w:rPr>
        <w:t>le CAHT est inférieur à 7,63 millions €</w:t>
      </w:r>
    </w:p>
    <w:p w14:paraId="62B5E594" w14:textId="77777777" w:rsidR="007C1AC7" w:rsidRPr="007C1AC7" w:rsidRDefault="007C1AC7" w:rsidP="007C1AC7">
      <w:pPr>
        <w:numPr>
          <w:ilvl w:val="0"/>
          <w:numId w:val="3"/>
        </w:numPr>
        <w:shd w:val="clear" w:color="auto" w:fill="FFFFFF"/>
        <w:spacing w:before="100" w:beforeAutospacing="1" w:after="100" w:afterAutospacing="1"/>
        <w:rPr>
          <w:rFonts w:ascii="Arial" w:eastAsia="Times New Roman" w:hAnsi="Arial" w:cs="Arial"/>
          <w:color w:val="414856"/>
          <w:lang w:eastAsia="fr-FR"/>
        </w:rPr>
      </w:pPr>
      <w:r w:rsidRPr="007C1AC7">
        <w:rPr>
          <w:rFonts w:ascii="Arial" w:eastAsia="Times New Roman" w:hAnsi="Arial" w:cs="Arial"/>
          <w:color w:val="414856"/>
          <w:lang w:eastAsia="fr-FR"/>
        </w:rPr>
        <w:t>le capital a été entièrement reversé et est détenu à au moins 75 % par des personnes physiques (ou par une société appliquant ce critère).</w:t>
      </w:r>
    </w:p>
    <w:p w14:paraId="773546C3" w14:textId="77777777" w:rsidR="007C1AC7" w:rsidRPr="007C1AC7" w:rsidRDefault="007C1AC7" w:rsidP="007C1AC7">
      <w:pPr>
        <w:shd w:val="clear" w:color="auto" w:fill="FFFFFF"/>
        <w:spacing w:after="240"/>
        <w:rPr>
          <w:rFonts w:ascii="Arial" w:hAnsi="Arial" w:cs="Arial"/>
          <w:color w:val="414856"/>
          <w:lang w:eastAsia="fr-FR"/>
        </w:rPr>
      </w:pPr>
      <w:r w:rsidRPr="007C1AC7">
        <w:rPr>
          <w:rFonts w:ascii="Arial" w:hAnsi="Arial" w:cs="Arial"/>
          <w:color w:val="414856"/>
          <w:lang w:eastAsia="fr-FR"/>
        </w:rPr>
        <w:t>Le taux de 15 % s'applique sur la tranche inférieure à 38 120 € de bénéfices pour les entreprises dont :</w:t>
      </w:r>
    </w:p>
    <w:p w14:paraId="51E8AB89" w14:textId="77777777" w:rsidR="007C1AC7" w:rsidRPr="007C1AC7" w:rsidRDefault="007C1AC7" w:rsidP="007C1AC7">
      <w:pPr>
        <w:numPr>
          <w:ilvl w:val="0"/>
          <w:numId w:val="4"/>
        </w:numPr>
        <w:shd w:val="clear" w:color="auto" w:fill="FFFFFF"/>
        <w:spacing w:before="100" w:beforeAutospacing="1" w:after="100" w:afterAutospacing="1"/>
        <w:rPr>
          <w:rFonts w:ascii="Arial" w:eastAsia="Times New Roman" w:hAnsi="Arial" w:cs="Arial"/>
          <w:color w:val="414856"/>
          <w:lang w:eastAsia="fr-FR"/>
        </w:rPr>
      </w:pPr>
      <w:r w:rsidRPr="007C1AC7">
        <w:rPr>
          <w:rFonts w:ascii="Arial" w:eastAsia="Times New Roman" w:hAnsi="Arial" w:cs="Arial"/>
          <w:color w:val="414856"/>
          <w:lang w:eastAsia="fr-FR"/>
        </w:rPr>
        <w:t>le CAHT est inférieur à 7,63 millions €</w:t>
      </w:r>
    </w:p>
    <w:p w14:paraId="66099AFB" w14:textId="77777777" w:rsidR="007C1AC7" w:rsidRPr="007C1AC7" w:rsidRDefault="007C1AC7" w:rsidP="007C1AC7">
      <w:pPr>
        <w:numPr>
          <w:ilvl w:val="0"/>
          <w:numId w:val="4"/>
        </w:numPr>
        <w:shd w:val="clear" w:color="auto" w:fill="FFFFFF"/>
        <w:spacing w:before="100" w:beforeAutospacing="1" w:after="100" w:afterAutospacing="1"/>
        <w:rPr>
          <w:rFonts w:ascii="Arial" w:eastAsia="Times New Roman" w:hAnsi="Arial" w:cs="Arial"/>
          <w:color w:val="414856"/>
          <w:lang w:eastAsia="fr-FR"/>
        </w:rPr>
      </w:pPr>
      <w:r w:rsidRPr="007C1AC7">
        <w:rPr>
          <w:rFonts w:ascii="Arial" w:eastAsia="Times New Roman" w:hAnsi="Arial" w:cs="Arial"/>
          <w:color w:val="414856"/>
          <w:lang w:eastAsia="fr-FR"/>
        </w:rPr>
        <w:t>le capital a été entièrement reversé et est détenu à au moins 75 % par des personnes physiques (ou par une société appliquant ce critère).</w:t>
      </w:r>
    </w:p>
    <w:p w14:paraId="198B84D3" w14:textId="77777777" w:rsidR="007C1AC7" w:rsidRPr="007C1AC7" w:rsidRDefault="007C1AC7" w:rsidP="007C1AC7">
      <w:pPr>
        <w:shd w:val="clear" w:color="auto" w:fill="FFFFFF"/>
        <w:spacing w:after="240"/>
        <w:rPr>
          <w:rFonts w:ascii="Arial" w:hAnsi="Arial" w:cs="Arial"/>
          <w:color w:val="414856"/>
          <w:lang w:eastAsia="fr-FR"/>
        </w:rPr>
      </w:pPr>
      <w:r w:rsidRPr="007C1AC7">
        <w:rPr>
          <w:rFonts w:ascii="Arial" w:hAnsi="Arial" w:cs="Arial"/>
          <w:color w:val="414856"/>
          <w:lang w:eastAsia="fr-FR"/>
        </w:rPr>
        <w:t>Ces conditions sont cumulatives.</w:t>
      </w:r>
    </w:p>
    <w:p w14:paraId="18734CE0" w14:textId="5213480F" w:rsidR="007C1AC7" w:rsidRDefault="007C1AC7" w:rsidP="007C1AC7">
      <w:pPr>
        <w:shd w:val="clear" w:color="auto" w:fill="FFFFFF"/>
        <w:spacing w:after="240"/>
        <w:rPr>
          <w:rFonts w:ascii="Arial" w:hAnsi="Arial" w:cs="Arial"/>
          <w:color w:val="414856"/>
          <w:lang w:eastAsia="fr-FR"/>
        </w:rPr>
      </w:pPr>
      <w:r w:rsidRPr="007C1AC7">
        <w:rPr>
          <w:rFonts w:ascii="Arial" w:hAnsi="Arial" w:cs="Arial"/>
          <w:color w:val="414856"/>
          <w:lang w:eastAsia="fr-FR"/>
        </w:rPr>
        <w:t>Le taux de 28 % s'applique, pour l'exercice ouvert à partir du 1</w:t>
      </w:r>
      <w:r w:rsidRPr="007C1AC7">
        <w:rPr>
          <w:rFonts w:ascii="Arial" w:hAnsi="Arial" w:cs="Arial"/>
          <w:color w:val="414856"/>
          <w:sz w:val="18"/>
          <w:szCs w:val="18"/>
          <w:vertAlign w:val="superscript"/>
          <w:lang w:eastAsia="fr-FR"/>
        </w:rPr>
        <w:t>er</w:t>
      </w:r>
      <w:r w:rsidRPr="007C1AC7">
        <w:rPr>
          <w:rFonts w:ascii="Arial" w:hAnsi="Arial" w:cs="Arial"/>
          <w:color w:val="414856"/>
          <w:lang w:eastAsia="fr-FR"/>
        </w:rPr>
        <w:t> janvier 2020 au-delà d</w:t>
      </w:r>
      <w:r w:rsidR="005B5908">
        <w:rPr>
          <w:rFonts w:ascii="Arial" w:hAnsi="Arial" w:cs="Arial"/>
          <w:color w:val="414856"/>
          <w:lang w:eastAsia="fr-FR"/>
        </w:rPr>
        <w:t>u seuil d</w:t>
      </w:r>
      <w:r w:rsidRPr="007C1AC7">
        <w:rPr>
          <w:rFonts w:ascii="Arial" w:hAnsi="Arial" w:cs="Arial"/>
          <w:color w:val="414856"/>
          <w:lang w:eastAsia="fr-FR"/>
        </w:rPr>
        <w:t>e 38 120 € de bénéfices.</w:t>
      </w:r>
    </w:p>
    <w:p w14:paraId="48C04988" w14:textId="2D8D3DF7" w:rsidR="005B5908" w:rsidRPr="006A18EF" w:rsidRDefault="005B5908" w:rsidP="007C1AC7">
      <w:pPr>
        <w:shd w:val="clear" w:color="auto" w:fill="FFFFFF"/>
        <w:spacing w:after="240"/>
        <w:rPr>
          <w:rFonts w:ascii="Arial" w:hAnsi="Arial" w:cs="Arial"/>
          <w:b/>
          <w:color w:val="414856"/>
          <w:u w:val="single"/>
          <w:lang w:eastAsia="fr-FR"/>
        </w:rPr>
      </w:pPr>
      <w:r w:rsidRPr="006A18EF">
        <w:rPr>
          <w:rFonts w:ascii="Arial" w:hAnsi="Arial" w:cs="Arial"/>
          <w:b/>
          <w:color w:val="414856"/>
          <w:u w:val="single"/>
          <w:lang w:eastAsia="fr-FR"/>
        </w:rPr>
        <w:t xml:space="preserve">Prenons un exemple concret : </w:t>
      </w:r>
    </w:p>
    <w:p w14:paraId="76EAECD9" w14:textId="0D0AF549" w:rsidR="005B5908" w:rsidRDefault="005B5908" w:rsidP="007C1AC7">
      <w:pPr>
        <w:shd w:val="clear" w:color="auto" w:fill="FFFFFF"/>
        <w:spacing w:after="240"/>
        <w:rPr>
          <w:rFonts w:ascii="Arial" w:hAnsi="Arial" w:cs="Arial"/>
          <w:color w:val="414856"/>
          <w:lang w:eastAsia="fr-FR"/>
        </w:rPr>
      </w:pPr>
      <w:r>
        <w:rPr>
          <w:rFonts w:ascii="Arial" w:hAnsi="Arial" w:cs="Arial"/>
          <w:color w:val="414856"/>
          <w:lang w:eastAsia="fr-FR"/>
        </w:rPr>
        <w:t xml:space="preserve">Une PME dégage un CAHT de </w:t>
      </w:r>
      <w:r w:rsidR="006A18EF">
        <w:rPr>
          <w:rFonts w:ascii="Arial" w:hAnsi="Arial" w:cs="Arial"/>
          <w:color w:val="414856"/>
          <w:lang w:eastAsia="fr-FR"/>
        </w:rPr>
        <w:t>100 000 € sur l’année 2020</w:t>
      </w:r>
    </w:p>
    <w:p w14:paraId="3E10293E" w14:textId="28E24B12" w:rsidR="006A18EF" w:rsidRDefault="006A18EF" w:rsidP="007C1AC7">
      <w:pPr>
        <w:shd w:val="clear" w:color="auto" w:fill="FFFFFF"/>
        <w:spacing w:after="240"/>
        <w:rPr>
          <w:rFonts w:ascii="Arial" w:hAnsi="Arial" w:cs="Arial"/>
          <w:color w:val="414856"/>
          <w:lang w:eastAsia="fr-FR"/>
        </w:rPr>
      </w:pPr>
      <w:r>
        <w:rPr>
          <w:rFonts w:ascii="Arial" w:hAnsi="Arial" w:cs="Arial"/>
          <w:color w:val="414856"/>
          <w:lang w:eastAsia="fr-FR"/>
        </w:rPr>
        <w:t>La partie située en-dessous du seuil de 38 120 € sera taxée à 15%</w:t>
      </w:r>
    </w:p>
    <w:p w14:paraId="58DCC79A" w14:textId="3D5CD100" w:rsidR="006A18EF" w:rsidRDefault="006A18EF" w:rsidP="007C1AC7">
      <w:pPr>
        <w:shd w:val="clear" w:color="auto" w:fill="FFFFFF"/>
        <w:spacing w:after="240"/>
        <w:rPr>
          <w:rFonts w:ascii="Arial" w:hAnsi="Arial" w:cs="Arial"/>
          <w:color w:val="414856"/>
          <w:lang w:eastAsia="fr-FR"/>
        </w:rPr>
      </w:pPr>
      <w:r>
        <w:rPr>
          <w:rFonts w:ascii="Arial" w:hAnsi="Arial" w:cs="Arial"/>
          <w:color w:val="414856"/>
          <w:lang w:eastAsia="fr-FR"/>
        </w:rPr>
        <w:lastRenderedPageBreak/>
        <w:t>38 119 € x 15% = 5 717,85 €</w:t>
      </w:r>
    </w:p>
    <w:p w14:paraId="59737503" w14:textId="7B93E841" w:rsidR="006A18EF" w:rsidRDefault="006A18EF" w:rsidP="007C1AC7">
      <w:pPr>
        <w:shd w:val="clear" w:color="auto" w:fill="FFFFFF"/>
        <w:spacing w:after="240"/>
        <w:rPr>
          <w:rFonts w:ascii="Arial" w:hAnsi="Arial" w:cs="Arial"/>
          <w:color w:val="414856"/>
          <w:lang w:eastAsia="fr-FR"/>
        </w:rPr>
      </w:pPr>
      <w:r>
        <w:rPr>
          <w:rFonts w:ascii="Arial" w:hAnsi="Arial" w:cs="Arial"/>
          <w:color w:val="414856"/>
          <w:lang w:eastAsia="fr-FR"/>
        </w:rPr>
        <w:t>La partie située au-dessus du seuil sera taxée à 28%</w:t>
      </w:r>
    </w:p>
    <w:p w14:paraId="2CCACFD5" w14:textId="51A8F973" w:rsidR="006A18EF" w:rsidRDefault="006A18EF" w:rsidP="007C1AC7">
      <w:pPr>
        <w:shd w:val="clear" w:color="auto" w:fill="FFFFFF"/>
        <w:spacing w:after="240"/>
        <w:rPr>
          <w:rFonts w:ascii="Arial" w:hAnsi="Arial" w:cs="Arial"/>
          <w:color w:val="414856"/>
          <w:lang w:eastAsia="fr-FR"/>
        </w:rPr>
      </w:pPr>
      <w:r>
        <w:rPr>
          <w:rFonts w:ascii="Arial" w:hAnsi="Arial" w:cs="Arial"/>
          <w:color w:val="414856"/>
          <w:lang w:eastAsia="fr-FR"/>
        </w:rPr>
        <w:t>61 880 € x 28% = 17 326,40 €</w:t>
      </w:r>
    </w:p>
    <w:p w14:paraId="2475AE35" w14:textId="122EEFE0" w:rsidR="006A18EF" w:rsidRPr="007C1AC7" w:rsidRDefault="006A18EF" w:rsidP="007C1AC7">
      <w:pPr>
        <w:shd w:val="clear" w:color="auto" w:fill="FFFFFF"/>
        <w:spacing w:after="240"/>
        <w:rPr>
          <w:rFonts w:ascii="Arial" w:hAnsi="Arial" w:cs="Arial"/>
          <w:color w:val="414856"/>
          <w:lang w:eastAsia="fr-FR"/>
        </w:rPr>
      </w:pPr>
      <w:r>
        <w:rPr>
          <w:rFonts w:ascii="Arial" w:hAnsi="Arial" w:cs="Arial"/>
          <w:color w:val="414856"/>
          <w:lang w:eastAsia="fr-FR"/>
        </w:rPr>
        <w:t>Soit un total de 23 044,25 € ce qui revient à un taux moyen de 23,044%</w:t>
      </w:r>
    </w:p>
    <w:p w14:paraId="55D0BAF2" w14:textId="46B3BF40" w:rsidR="007C1AC7" w:rsidRPr="00D360D1" w:rsidRDefault="00272D8B" w:rsidP="007C1AC7">
      <w:pPr>
        <w:shd w:val="clear" w:color="auto" w:fill="FFFFFF"/>
        <w:spacing w:before="100" w:beforeAutospacing="1" w:after="100" w:afterAutospacing="1"/>
        <w:rPr>
          <w:rFonts w:ascii="Arial" w:eastAsia="Times New Roman" w:hAnsi="Arial" w:cs="Arial"/>
          <w:color w:val="414856"/>
          <w:lang w:eastAsia="fr-FR"/>
        </w:rPr>
      </w:pPr>
      <w:r>
        <w:rPr>
          <w:rFonts w:ascii="Arial" w:eastAsia="Times New Roman" w:hAnsi="Arial" w:cs="Arial"/>
          <w:color w:val="414856"/>
          <w:lang w:eastAsia="fr-FR"/>
        </w:rPr>
        <w:t>Ce taux réduit bénéficie à 708 000 entreprises assujetties à l’IS</w:t>
      </w:r>
    </w:p>
    <w:p w14:paraId="4262A025" w14:textId="5FAEA1EC" w:rsidR="00EA5C9C" w:rsidRPr="00BB6CFB" w:rsidRDefault="00131201" w:rsidP="00EA5C9C">
      <w:pPr>
        <w:jc w:val="both"/>
        <w:rPr>
          <w:rFonts w:ascii="Rockwell" w:eastAsia="Times New Roman" w:hAnsi="Rockwell" w:cs="Times New Roman"/>
          <w:b/>
          <w:bCs/>
          <w:sz w:val="40"/>
          <w:szCs w:val="40"/>
          <w:u w:val="single"/>
          <w:lang w:eastAsia="fr-FR"/>
        </w:rPr>
      </w:pPr>
      <w:r w:rsidRPr="00BB6CFB">
        <w:rPr>
          <w:rFonts w:ascii="Rockwell" w:eastAsia="Times New Roman" w:hAnsi="Rockwell" w:cs="Times New Roman"/>
          <w:b/>
          <w:bCs/>
          <w:sz w:val="40"/>
          <w:szCs w:val="40"/>
          <w:u w:val="single"/>
          <w:lang w:eastAsia="fr-FR"/>
        </w:rPr>
        <w:t>Section 2</w:t>
      </w:r>
      <w:r w:rsidR="00EA5C9C" w:rsidRPr="00001804">
        <w:rPr>
          <w:rFonts w:ascii="Rockwell" w:eastAsia="Times New Roman" w:hAnsi="Rockwell" w:cs="Times New Roman"/>
          <w:b/>
          <w:bCs/>
          <w:sz w:val="40"/>
          <w:szCs w:val="40"/>
          <w:u w:val="single"/>
          <w:lang w:eastAsia="fr-FR"/>
        </w:rPr>
        <w:t xml:space="preserve"> – LIQUIDATION ET PAIEMENT</w:t>
      </w:r>
      <w:r w:rsidR="00BB6CFB">
        <w:rPr>
          <w:rFonts w:ascii="Rockwell" w:eastAsia="Times New Roman" w:hAnsi="Rockwell" w:cs="Times New Roman"/>
          <w:b/>
          <w:bCs/>
          <w:sz w:val="40"/>
          <w:szCs w:val="40"/>
          <w:u w:val="single"/>
          <w:lang w:eastAsia="fr-FR"/>
        </w:rPr>
        <w:t> :</w:t>
      </w:r>
    </w:p>
    <w:p w14:paraId="46C0DD87" w14:textId="150632DE" w:rsidR="00131201" w:rsidRDefault="00EA5C9C" w:rsidP="00EA5C9C">
      <w:pPr>
        <w:jc w:val="both"/>
        <w:rPr>
          <w:rFonts w:ascii="Rockwell" w:eastAsia="Times New Roman" w:hAnsi="Rockwell" w:cs="Times New Roman"/>
          <w:sz w:val="32"/>
          <w:szCs w:val="32"/>
          <w:lang w:eastAsia="fr-FR"/>
        </w:rPr>
      </w:pPr>
      <w:r w:rsidRPr="00001804">
        <w:rPr>
          <w:rFonts w:ascii="Rockwell" w:eastAsia="Times New Roman" w:hAnsi="Rockwell" w:cs="Times New Roman"/>
          <w:sz w:val="32"/>
          <w:szCs w:val="32"/>
          <w:lang w:eastAsia="fr-FR"/>
        </w:rPr>
        <w:t xml:space="preserve">L'impôt </w:t>
      </w:r>
      <w:r w:rsidR="00BB6CFB">
        <w:rPr>
          <w:rFonts w:ascii="Rockwell" w:eastAsia="Times New Roman" w:hAnsi="Rockwell" w:cs="Times New Roman"/>
          <w:sz w:val="32"/>
          <w:szCs w:val="32"/>
          <w:lang w:eastAsia="fr-FR"/>
        </w:rPr>
        <w:t xml:space="preserve">sur les sociétés </w:t>
      </w:r>
      <w:r w:rsidRPr="00001804">
        <w:rPr>
          <w:rFonts w:ascii="Rockwell" w:eastAsia="Times New Roman" w:hAnsi="Rockwell" w:cs="Times New Roman"/>
          <w:sz w:val="32"/>
          <w:szCs w:val="32"/>
          <w:lang w:eastAsia="fr-FR"/>
        </w:rPr>
        <w:t xml:space="preserve">est calculé et payé spontanément par la société selon un système d'acomptes provisionnels qui fait l'objet de régularisations lorsque les résultats de l'exercice sont établis de manière définitive. </w:t>
      </w:r>
      <w:r w:rsidR="00272D8B">
        <w:rPr>
          <w:rFonts w:ascii="Rockwell" w:eastAsia="Times New Roman" w:hAnsi="Rockwell" w:cs="Times New Roman"/>
          <w:sz w:val="32"/>
          <w:szCs w:val="32"/>
          <w:lang w:eastAsia="fr-FR"/>
        </w:rPr>
        <w:t>Chaque entreprise fait ses calculs, c’est l’auto-liquidation.</w:t>
      </w:r>
      <w:r w:rsidR="00BB4629">
        <w:rPr>
          <w:rFonts w:ascii="Rockwell" w:eastAsia="Times New Roman" w:hAnsi="Rockwell" w:cs="Times New Roman"/>
          <w:sz w:val="32"/>
          <w:szCs w:val="32"/>
          <w:lang w:eastAsia="fr-FR"/>
        </w:rPr>
        <w:t xml:space="preserve"> Par conséquent, L’IS est un impôt autoliquidé.</w:t>
      </w:r>
    </w:p>
    <w:p w14:paraId="3015578E" w14:textId="77777777" w:rsidR="00131201" w:rsidRDefault="00131201" w:rsidP="00EA5C9C">
      <w:pPr>
        <w:jc w:val="both"/>
        <w:rPr>
          <w:rFonts w:ascii="Rockwell" w:eastAsia="Times New Roman" w:hAnsi="Rockwell" w:cs="Times New Roman"/>
          <w:sz w:val="32"/>
          <w:szCs w:val="32"/>
          <w:lang w:eastAsia="fr-FR"/>
        </w:rPr>
      </w:pPr>
    </w:p>
    <w:p w14:paraId="6FD610C1" w14:textId="1F3BCF50" w:rsidR="00131201" w:rsidRDefault="00EA5C9C" w:rsidP="00EA5C9C">
      <w:pPr>
        <w:jc w:val="both"/>
        <w:rPr>
          <w:rFonts w:ascii="Rockwell" w:eastAsia="Times New Roman" w:hAnsi="Rockwell" w:cs="Times New Roman"/>
          <w:sz w:val="32"/>
          <w:szCs w:val="32"/>
          <w:lang w:eastAsia="fr-FR"/>
        </w:rPr>
      </w:pPr>
      <w:r w:rsidRPr="00001804">
        <w:rPr>
          <w:rFonts w:ascii="Rockwell" w:eastAsia="Times New Roman" w:hAnsi="Rockwell" w:cs="Times New Roman"/>
          <w:sz w:val="32"/>
          <w:szCs w:val="32"/>
          <w:lang w:eastAsia="fr-FR"/>
        </w:rPr>
        <w:t xml:space="preserve">Les échéances déclaratives et de paiement des entreprises qui relèvent de l’IS sont harmonisées. Les entreprises qui arrêtent leurs comptes au 31 décembre de l’année précédente ont jusqu’au 15 mai pour acquitter le solde de l’IS dont elles sont redevables au titre de l’exercice. </w:t>
      </w:r>
    </w:p>
    <w:p w14:paraId="7841A392" w14:textId="77777777" w:rsidR="00131201" w:rsidRDefault="00131201" w:rsidP="00EA5C9C">
      <w:pPr>
        <w:jc w:val="both"/>
        <w:rPr>
          <w:rFonts w:ascii="Rockwell" w:eastAsia="Times New Roman" w:hAnsi="Rockwell" w:cs="Times New Roman"/>
          <w:sz w:val="32"/>
          <w:szCs w:val="32"/>
          <w:lang w:eastAsia="fr-FR"/>
        </w:rPr>
      </w:pPr>
    </w:p>
    <w:p w14:paraId="208F5C38" w14:textId="77777777" w:rsidR="00131201" w:rsidRDefault="00EA5C9C" w:rsidP="00EA5C9C">
      <w:pPr>
        <w:jc w:val="both"/>
        <w:rPr>
          <w:rFonts w:ascii="Rockwell" w:eastAsia="Times New Roman" w:hAnsi="Rockwell" w:cs="Times New Roman"/>
          <w:sz w:val="32"/>
          <w:szCs w:val="32"/>
          <w:lang w:eastAsia="fr-FR"/>
        </w:rPr>
      </w:pPr>
      <w:r w:rsidRPr="00001804">
        <w:rPr>
          <w:rFonts w:ascii="Rockwell" w:eastAsia="Times New Roman" w:hAnsi="Rockwell" w:cs="Times New Roman"/>
          <w:sz w:val="32"/>
          <w:szCs w:val="32"/>
          <w:lang w:eastAsia="fr-FR"/>
        </w:rPr>
        <w:t xml:space="preserve">Les grandes entreprises dont le chiffre d’affaires est supérieur à 250 M€ doivent anticiper le montant d’impôt dû au titre de l’année lors du paiement de leur dernier acompte d’impôt sur les sociétés. </w:t>
      </w:r>
    </w:p>
    <w:p w14:paraId="1EC38093" w14:textId="77777777" w:rsidR="00131201" w:rsidRDefault="00131201" w:rsidP="00EA5C9C">
      <w:pPr>
        <w:jc w:val="both"/>
        <w:rPr>
          <w:rFonts w:ascii="Rockwell" w:eastAsia="Times New Roman" w:hAnsi="Rockwell" w:cs="Times New Roman"/>
          <w:sz w:val="32"/>
          <w:szCs w:val="32"/>
          <w:lang w:eastAsia="fr-FR"/>
        </w:rPr>
      </w:pPr>
    </w:p>
    <w:p w14:paraId="5CA6728C" w14:textId="6716988D" w:rsidR="00EA5C9C" w:rsidRDefault="00EA5C9C" w:rsidP="00EA5C9C">
      <w:pPr>
        <w:jc w:val="both"/>
        <w:rPr>
          <w:rFonts w:ascii="Rockwell" w:eastAsia="Times New Roman" w:hAnsi="Rockwell" w:cs="Times New Roman"/>
          <w:sz w:val="32"/>
          <w:szCs w:val="32"/>
          <w:lang w:eastAsia="fr-FR"/>
        </w:rPr>
      </w:pPr>
      <w:r w:rsidRPr="00001804">
        <w:rPr>
          <w:rFonts w:ascii="Rockwell" w:eastAsia="Times New Roman" w:hAnsi="Rockwell" w:cs="Times New Roman"/>
          <w:sz w:val="32"/>
          <w:szCs w:val="32"/>
          <w:lang w:eastAsia="fr-FR"/>
        </w:rPr>
        <w:t xml:space="preserve">Sur cet impôt brut viennent s'imputer, le cas échéant, les crédits d'impôts afférents aux revenus de valeurs mobilières étrangères inclus dans la base imposable. Ces crédits d’impôt correspondent à la retenue à la source opérée sur ces revenus. </w:t>
      </w:r>
    </w:p>
    <w:p w14:paraId="68E740EC" w14:textId="10131E0F" w:rsidR="00272D8B" w:rsidRDefault="00272D8B" w:rsidP="00EA5C9C">
      <w:pPr>
        <w:jc w:val="both"/>
        <w:rPr>
          <w:rFonts w:ascii="Rockwell" w:eastAsia="Times New Roman" w:hAnsi="Rockwell" w:cs="Times New Roman"/>
          <w:sz w:val="32"/>
          <w:szCs w:val="32"/>
          <w:lang w:eastAsia="fr-FR"/>
        </w:rPr>
      </w:pPr>
    </w:p>
    <w:p w14:paraId="4874E8BC" w14:textId="77777777" w:rsidR="003E25A6" w:rsidRDefault="003E25A6" w:rsidP="00EA5C9C">
      <w:pPr>
        <w:jc w:val="both"/>
        <w:rPr>
          <w:rFonts w:ascii="Rockwell" w:eastAsia="Times New Roman" w:hAnsi="Rockwell" w:cs="Times New Roman"/>
          <w:sz w:val="32"/>
          <w:szCs w:val="32"/>
          <w:lang w:eastAsia="fr-FR"/>
        </w:rPr>
      </w:pPr>
    </w:p>
    <w:p w14:paraId="7DE0FA35" w14:textId="6B03781C" w:rsidR="00272D8B" w:rsidRPr="003E25A6" w:rsidRDefault="00272D8B" w:rsidP="00EA5C9C">
      <w:pPr>
        <w:jc w:val="both"/>
        <w:rPr>
          <w:rFonts w:ascii="Rockwell" w:eastAsia="Times New Roman" w:hAnsi="Rockwell" w:cs="Times New Roman"/>
          <w:b/>
          <w:bCs/>
          <w:sz w:val="32"/>
          <w:szCs w:val="32"/>
          <w:lang w:eastAsia="fr-FR"/>
        </w:rPr>
      </w:pPr>
      <w:r w:rsidRPr="003E25A6">
        <w:rPr>
          <w:rFonts w:ascii="Rockwell" w:eastAsia="Times New Roman" w:hAnsi="Rockwell" w:cs="Times New Roman"/>
          <w:b/>
          <w:bCs/>
          <w:sz w:val="32"/>
          <w:szCs w:val="32"/>
          <w:lang w:eastAsia="fr-FR"/>
        </w:rPr>
        <w:t>CONCLUSION :</w:t>
      </w:r>
    </w:p>
    <w:p w14:paraId="7F23CD98" w14:textId="68DAF548" w:rsidR="00272D8B" w:rsidRDefault="00272D8B" w:rsidP="00EA5C9C">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Enjeu de cet impôt et courbe de Laffer.</w:t>
      </w:r>
    </w:p>
    <w:p w14:paraId="3300BE66" w14:textId="0E1B4BF6" w:rsidR="00272D8B" w:rsidRPr="00001804" w:rsidRDefault="00272D8B" w:rsidP="00EA5C9C">
      <w:pPr>
        <w:jc w:val="both"/>
        <w:rPr>
          <w:rFonts w:ascii="Rockwell" w:eastAsia="Times New Roman" w:hAnsi="Rockwell" w:cs="Times New Roman"/>
          <w:sz w:val="32"/>
          <w:szCs w:val="32"/>
          <w:lang w:eastAsia="fr-FR"/>
        </w:rPr>
      </w:pPr>
      <w:r>
        <w:rPr>
          <w:rFonts w:ascii="Rockwell" w:eastAsia="Times New Roman" w:hAnsi="Rockwell" w:cs="Times New Roman"/>
          <w:sz w:val="32"/>
          <w:szCs w:val="32"/>
          <w:lang w:eastAsia="fr-FR"/>
        </w:rPr>
        <w:t xml:space="preserve">La baisse des taux devrait permettre d’encaisser davantage car les entreprises étant moins taxées, elles augmenteraient leurs gains. Par ailleurs, le taux français se rapprochant des autres taux européens, on attirerait en France de nouvelles entreprises. </w:t>
      </w:r>
      <w:r w:rsidR="004B541D">
        <w:rPr>
          <w:rFonts w:ascii="Rockwell" w:eastAsia="Times New Roman" w:hAnsi="Rockwell" w:cs="Times New Roman"/>
          <w:sz w:val="32"/>
          <w:szCs w:val="32"/>
          <w:lang w:eastAsia="fr-FR"/>
        </w:rPr>
        <w:t>Manque de pot, la crise du Coronavirus a fait échouer les prévisions et le rendement de l’IS s’effondre en raison de la baisse d’activité des entreprises.</w:t>
      </w:r>
    </w:p>
    <w:p w14:paraId="3B6E3B44" w14:textId="77777777" w:rsidR="00AC1869" w:rsidRDefault="00AC1869" w:rsidP="002D1E15">
      <w:bookmarkStart w:id="0" w:name="_GoBack"/>
      <w:bookmarkEnd w:id="0"/>
    </w:p>
    <w:sectPr w:rsidR="00AC1869" w:rsidSect="00A3590E">
      <w:footerReference w:type="even" r:id="rId8"/>
      <w:footerReference w:type="default" r:id="rId9"/>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9BA14" w14:textId="77777777" w:rsidR="002039E1" w:rsidRDefault="002039E1" w:rsidP="00433CD5">
      <w:r>
        <w:separator/>
      </w:r>
    </w:p>
  </w:endnote>
  <w:endnote w:type="continuationSeparator" w:id="0">
    <w:p w14:paraId="35D44538" w14:textId="77777777" w:rsidR="002039E1" w:rsidRDefault="002039E1" w:rsidP="0043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BCB4" w14:textId="77777777" w:rsidR="00433CD5" w:rsidRDefault="00433CD5" w:rsidP="0015757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0EA30CB" w14:textId="77777777" w:rsidR="00433CD5" w:rsidRDefault="00433CD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BACC" w14:textId="77777777" w:rsidR="00433CD5" w:rsidRDefault="00433CD5" w:rsidP="0015757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B541D">
      <w:rPr>
        <w:rStyle w:val="Numrodepage"/>
        <w:noProof/>
      </w:rPr>
      <w:t>1</w:t>
    </w:r>
    <w:r>
      <w:rPr>
        <w:rStyle w:val="Numrodepage"/>
      </w:rPr>
      <w:fldChar w:fldCharType="end"/>
    </w:r>
  </w:p>
  <w:p w14:paraId="7C4C2942" w14:textId="77777777" w:rsidR="00433CD5" w:rsidRDefault="00433CD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466F3" w14:textId="77777777" w:rsidR="002039E1" w:rsidRDefault="002039E1" w:rsidP="00433CD5">
      <w:r>
        <w:separator/>
      </w:r>
    </w:p>
  </w:footnote>
  <w:footnote w:type="continuationSeparator" w:id="0">
    <w:p w14:paraId="333DE3AE" w14:textId="77777777" w:rsidR="002039E1" w:rsidRDefault="002039E1" w:rsidP="00433CD5">
      <w:r>
        <w:continuationSeparator/>
      </w:r>
    </w:p>
  </w:footnote>
  <w:footnote w:id="1">
    <w:p w14:paraId="46C6192D" w14:textId="5C5C1825" w:rsidR="00355EF6" w:rsidRDefault="00355EF6">
      <w:pPr>
        <w:pStyle w:val="Notedebasdepage"/>
      </w:pPr>
      <w:r>
        <w:rPr>
          <w:rStyle w:val="Appelnotedebasdep"/>
        </w:rPr>
        <w:footnoteRef/>
      </w:r>
      <w:r>
        <w:t xml:space="preserve"> Jurisprudence dite des cliniques dans laquelle le juge fait la part des choses : CE Ass 30 novembre 1973, Association Saint Luc, clinique du Sacré Cœur.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51F66"/>
    <w:multiLevelType w:val="multilevel"/>
    <w:tmpl w:val="615C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37EF8"/>
    <w:multiLevelType w:val="multilevel"/>
    <w:tmpl w:val="8932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86C38"/>
    <w:multiLevelType w:val="multilevel"/>
    <w:tmpl w:val="CF10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D81239"/>
    <w:multiLevelType w:val="multilevel"/>
    <w:tmpl w:val="8BA4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6E61FB"/>
    <w:multiLevelType w:val="hybridMultilevel"/>
    <w:tmpl w:val="F612B3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15"/>
    <w:rsid w:val="00001804"/>
    <w:rsid w:val="00003B08"/>
    <w:rsid w:val="00024BD1"/>
    <w:rsid w:val="00030433"/>
    <w:rsid w:val="00050818"/>
    <w:rsid w:val="000802CE"/>
    <w:rsid w:val="0008137E"/>
    <w:rsid w:val="00084122"/>
    <w:rsid w:val="00092258"/>
    <w:rsid w:val="000A176B"/>
    <w:rsid w:val="000B0A28"/>
    <w:rsid w:val="000B1C1A"/>
    <w:rsid w:val="000B7CD6"/>
    <w:rsid w:val="000F2FD0"/>
    <w:rsid w:val="0012056B"/>
    <w:rsid w:val="00120DB2"/>
    <w:rsid w:val="00131201"/>
    <w:rsid w:val="00131599"/>
    <w:rsid w:val="00131776"/>
    <w:rsid w:val="0017559D"/>
    <w:rsid w:val="001A4A38"/>
    <w:rsid w:val="001E53A4"/>
    <w:rsid w:val="002039E1"/>
    <w:rsid w:val="002252C0"/>
    <w:rsid w:val="002424AD"/>
    <w:rsid w:val="00272D8B"/>
    <w:rsid w:val="00275FFF"/>
    <w:rsid w:val="002927E5"/>
    <w:rsid w:val="002A01E2"/>
    <w:rsid w:val="002A3461"/>
    <w:rsid w:val="002D1E15"/>
    <w:rsid w:val="002E376C"/>
    <w:rsid w:val="00310BDC"/>
    <w:rsid w:val="003253BC"/>
    <w:rsid w:val="00327E36"/>
    <w:rsid w:val="00355E62"/>
    <w:rsid w:val="00355EF6"/>
    <w:rsid w:val="00395CA3"/>
    <w:rsid w:val="003C0BCB"/>
    <w:rsid w:val="003D5083"/>
    <w:rsid w:val="003D6934"/>
    <w:rsid w:val="003E25A6"/>
    <w:rsid w:val="00420174"/>
    <w:rsid w:val="00433CD5"/>
    <w:rsid w:val="004425F4"/>
    <w:rsid w:val="00477FCA"/>
    <w:rsid w:val="004A7A21"/>
    <w:rsid w:val="004B541D"/>
    <w:rsid w:val="004B7D1A"/>
    <w:rsid w:val="004C23C4"/>
    <w:rsid w:val="004F1562"/>
    <w:rsid w:val="004F31C8"/>
    <w:rsid w:val="00574398"/>
    <w:rsid w:val="005857C9"/>
    <w:rsid w:val="005866A3"/>
    <w:rsid w:val="005B14D2"/>
    <w:rsid w:val="005B5908"/>
    <w:rsid w:val="005F3A88"/>
    <w:rsid w:val="0060080A"/>
    <w:rsid w:val="0061665B"/>
    <w:rsid w:val="00620FF7"/>
    <w:rsid w:val="0064787F"/>
    <w:rsid w:val="006501E6"/>
    <w:rsid w:val="00672E63"/>
    <w:rsid w:val="006A18EF"/>
    <w:rsid w:val="006A3059"/>
    <w:rsid w:val="00713034"/>
    <w:rsid w:val="0071666D"/>
    <w:rsid w:val="007334F1"/>
    <w:rsid w:val="00737574"/>
    <w:rsid w:val="007714F2"/>
    <w:rsid w:val="007A54CA"/>
    <w:rsid w:val="007B0325"/>
    <w:rsid w:val="007C1AC7"/>
    <w:rsid w:val="007F45B5"/>
    <w:rsid w:val="007F51F8"/>
    <w:rsid w:val="00807914"/>
    <w:rsid w:val="00845559"/>
    <w:rsid w:val="0087062C"/>
    <w:rsid w:val="00892F3A"/>
    <w:rsid w:val="008B4E51"/>
    <w:rsid w:val="008C0493"/>
    <w:rsid w:val="008C6B4C"/>
    <w:rsid w:val="008F381B"/>
    <w:rsid w:val="00902BE6"/>
    <w:rsid w:val="00920674"/>
    <w:rsid w:val="00937D05"/>
    <w:rsid w:val="0096240E"/>
    <w:rsid w:val="00973731"/>
    <w:rsid w:val="00993904"/>
    <w:rsid w:val="009A6397"/>
    <w:rsid w:val="009B2305"/>
    <w:rsid w:val="009E53B7"/>
    <w:rsid w:val="00A0002A"/>
    <w:rsid w:val="00A06E11"/>
    <w:rsid w:val="00A20930"/>
    <w:rsid w:val="00A26BC3"/>
    <w:rsid w:val="00A3590E"/>
    <w:rsid w:val="00A51671"/>
    <w:rsid w:val="00A662D2"/>
    <w:rsid w:val="00A675BD"/>
    <w:rsid w:val="00A70224"/>
    <w:rsid w:val="00A7342D"/>
    <w:rsid w:val="00A76388"/>
    <w:rsid w:val="00AC1869"/>
    <w:rsid w:val="00B8407B"/>
    <w:rsid w:val="00BB4629"/>
    <w:rsid w:val="00BB6CFB"/>
    <w:rsid w:val="00BC570E"/>
    <w:rsid w:val="00BC5801"/>
    <w:rsid w:val="00C00985"/>
    <w:rsid w:val="00C105E2"/>
    <w:rsid w:val="00C30811"/>
    <w:rsid w:val="00C32D4D"/>
    <w:rsid w:val="00C35D85"/>
    <w:rsid w:val="00C66DE0"/>
    <w:rsid w:val="00CA6EE5"/>
    <w:rsid w:val="00CB6038"/>
    <w:rsid w:val="00CC63CC"/>
    <w:rsid w:val="00CD5C2C"/>
    <w:rsid w:val="00CF54D0"/>
    <w:rsid w:val="00D11CA7"/>
    <w:rsid w:val="00D16394"/>
    <w:rsid w:val="00D26665"/>
    <w:rsid w:val="00D334C9"/>
    <w:rsid w:val="00D33CF3"/>
    <w:rsid w:val="00D360D1"/>
    <w:rsid w:val="00D561E7"/>
    <w:rsid w:val="00D62257"/>
    <w:rsid w:val="00D631BA"/>
    <w:rsid w:val="00D6783A"/>
    <w:rsid w:val="00D87601"/>
    <w:rsid w:val="00D95E0C"/>
    <w:rsid w:val="00DB3BC8"/>
    <w:rsid w:val="00DB6D37"/>
    <w:rsid w:val="00DC1C96"/>
    <w:rsid w:val="00DF3A15"/>
    <w:rsid w:val="00DF5C0A"/>
    <w:rsid w:val="00DF70D9"/>
    <w:rsid w:val="00E06DD9"/>
    <w:rsid w:val="00E334AC"/>
    <w:rsid w:val="00E4600C"/>
    <w:rsid w:val="00E728ED"/>
    <w:rsid w:val="00E74FF1"/>
    <w:rsid w:val="00E85B77"/>
    <w:rsid w:val="00EA07C7"/>
    <w:rsid w:val="00EA3D41"/>
    <w:rsid w:val="00EA5C9C"/>
    <w:rsid w:val="00EA68FC"/>
    <w:rsid w:val="00EC15C8"/>
    <w:rsid w:val="00EC3476"/>
    <w:rsid w:val="00ED2F5D"/>
    <w:rsid w:val="00F603F6"/>
    <w:rsid w:val="00F66861"/>
    <w:rsid w:val="00F7059A"/>
    <w:rsid w:val="00FA1B23"/>
    <w:rsid w:val="00FA7D03"/>
    <w:rsid w:val="00FC1914"/>
    <w:rsid w:val="00FD5826"/>
    <w:rsid w:val="00FF2A77"/>
    <w:rsid w:val="00FF32C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6FCA9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1E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33CD5"/>
    <w:pPr>
      <w:tabs>
        <w:tab w:val="center" w:pos="4536"/>
        <w:tab w:val="right" w:pos="9072"/>
      </w:tabs>
    </w:pPr>
  </w:style>
  <w:style w:type="character" w:customStyle="1" w:styleId="PieddepageCar">
    <w:name w:val="Pied de page Car"/>
    <w:basedOn w:val="Policepardfaut"/>
    <w:link w:val="Pieddepage"/>
    <w:uiPriority w:val="99"/>
    <w:rsid w:val="00433CD5"/>
  </w:style>
  <w:style w:type="character" w:styleId="Numrodepage">
    <w:name w:val="page number"/>
    <w:basedOn w:val="Policepardfaut"/>
    <w:uiPriority w:val="99"/>
    <w:semiHidden/>
    <w:unhideWhenUsed/>
    <w:rsid w:val="00433CD5"/>
  </w:style>
  <w:style w:type="paragraph" w:styleId="Normalweb">
    <w:name w:val="Normal (Web)"/>
    <w:basedOn w:val="Normal"/>
    <w:uiPriority w:val="99"/>
    <w:semiHidden/>
    <w:unhideWhenUsed/>
    <w:rsid w:val="005866A3"/>
    <w:pPr>
      <w:spacing w:before="100" w:beforeAutospacing="1" w:after="100" w:afterAutospacing="1"/>
    </w:pPr>
    <w:rPr>
      <w:rFonts w:ascii="Times New Roman" w:hAnsi="Times New Roman" w:cs="Times New Roman"/>
      <w:lang w:eastAsia="fr-FR"/>
    </w:rPr>
  </w:style>
  <w:style w:type="character" w:styleId="Lienhypertexte">
    <w:name w:val="Hyperlink"/>
    <w:basedOn w:val="Policepardfaut"/>
    <w:uiPriority w:val="99"/>
    <w:semiHidden/>
    <w:unhideWhenUsed/>
    <w:rsid w:val="005866A3"/>
    <w:rPr>
      <w:color w:val="0000FF"/>
      <w:u w:val="single"/>
    </w:rPr>
  </w:style>
  <w:style w:type="character" w:styleId="lev">
    <w:name w:val="Strong"/>
    <w:basedOn w:val="Policepardfaut"/>
    <w:uiPriority w:val="22"/>
    <w:qFormat/>
    <w:rsid w:val="00D360D1"/>
    <w:rPr>
      <w:b/>
      <w:bCs/>
    </w:rPr>
  </w:style>
  <w:style w:type="character" w:customStyle="1" w:styleId="prix">
    <w:name w:val="prix"/>
    <w:basedOn w:val="Policepardfaut"/>
    <w:rsid w:val="00D360D1"/>
  </w:style>
  <w:style w:type="paragraph" w:styleId="Pardeliste">
    <w:name w:val="List Paragraph"/>
    <w:basedOn w:val="Normal"/>
    <w:uiPriority w:val="34"/>
    <w:qFormat/>
    <w:rsid w:val="006A18EF"/>
    <w:pPr>
      <w:ind w:left="720"/>
      <w:contextualSpacing/>
    </w:pPr>
  </w:style>
  <w:style w:type="table" w:styleId="Grilledutableau">
    <w:name w:val="Table Grid"/>
    <w:basedOn w:val="TableauNormal"/>
    <w:uiPriority w:val="39"/>
    <w:rsid w:val="00D334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355EF6"/>
  </w:style>
  <w:style w:type="character" w:customStyle="1" w:styleId="NotedebasdepageCar">
    <w:name w:val="Note de bas de page Car"/>
    <w:basedOn w:val="Policepardfaut"/>
    <w:link w:val="Notedebasdepage"/>
    <w:uiPriority w:val="99"/>
    <w:rsid w:val="00355EF6"/>
  </w:style>
  <w:style w:type="character" w:styleId="Appelnotedebasdep">
    <w:name w:val="footnote reference"/>
    <w:basedOn w:val="Policepardfaut"/>
    <w:uiPriority w:val="99"/>
    <w:unhideWhenUsed/>
    <w:rsid w:val="00355E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065933">
      <w:bodyDiv w:val="1"/>
      <w:marLeft w:val="0"/>
      <w:marRight w:val="0"/>
      <w:marTop w:val="0"/>
      <w:marBottom w:val="0"/>
      <w:divBdr>
        <w:top w:val="none" w:sz="0" w:space="0" w:color="auto"/>
        <w:left w:val="none" w:sz="0" w:space="0" w:color="auto"/>
        <w:bottom w:val="none" w:sz="0" w:space="0" w:color="auto"/>
        <w:right w:val="none" w:sz="0" w:space="0" w:color="auto"/>
      </w:divBdr>
    </w:div>
    <w:div w:id="410932862">
      <w:bodyDiv w:val="1"/>
      <w:marLeft w:val="0"/>
      <w:marRight w:val="0"/>
      <w:marTop w:val="0"/>
      <w:marBottom w:val="0"/>
      <w:divBdr>
        <w:top w:val="none" w:sz="0" w:space="0" w:color="auto"/>
        <w:left w:val="none" w:sz="0" w:space="0" w:color="auto"/>
        <w:bottom w:val="none" w:sz="0" w:space="0" w:color="auto"/>
        <w:right w:val="none" w:sz="0" w:space="0" w:color="auto"/>
      </w:divBdr>
    </w:div>
    <w:div w:id="602148473">
      <w:bodyDiv w:val="1"/>
      <w:marLeft w:val="0"/>
      <w:marRight w:val="0"/>
      <w:marTop w:val="0"/>
      <w:marBottom w:val="0"/>
      <w:divBdr>
        <w:top w:val="none" w:sz="0" w:space="0" w:color="auto"/>
        <w:left w:val="none" w:sz="0" w:space="0" w:color="auto"/>
        <w:bottom w:val="none" w:sz="0" w:space="0" w:color="auto"/>
        <w:right w:val="none" w:sz="0" w:space="0" w:color="auto"/>
      </w:divBdr>
    </w:div>
    <w:div w:id="795416386">
      <w:bodyDiv w:val="1"/>
      <w:marLeft w:val="0"/>
      <w:marRight w:val="0"/>
      <w:marTop w:val="0"/>
      <w:marBottom w:val="0"/>
      <w:divBdr>
        <w:top w:val="none" w:sz="0" w:space="0" w:color="auto"/>
        <w:left w:val="none" w:sz="0" w:space="0" w:color="auto"/>
        <w:bottom w:val="none" w:sz="0" w:space="0" w:color="auto"/>
        <w:right w:val="none" w:sz="0" w:space="0" w:color="auto"/>
      </w:divBdr>
    </w:div>
    <w:div w:id="832914747">
      <w:bodyDiv w:val="1"/>
      <w:marLeft w:val="0"/>
      <w:marRight w:val="0"/>
      <w:marTop w:val="0"/>
      <w:marBottom w:val="0"/>
      <w:divBdr>
        <w:top w:val="none" w:sz="0" w:space="0" w:color="auto"/>
        <w:left w:val="none" w:sz="0" w:space="0" w:color="auto"/>
        <w:bottom w:val="none" w:sz="0" w:space="0" w:color="auto"/>
        <w:right w:val="none" w:sz="0" w:space="0" w:color="auto"/>
      </w:divBdr>
    </w:div>
    <w:div w:id="1085684314">
      <w:bodyDiv w:val="1"/>
      <w:marLeft w:val="0"/>
      <w:marRight w:val="0"/>
      <w:marTop w:val="0"/>
      <w:marBottom w:val="0"/>
      <w:divBdr>
        <w:top w:val="none" w:sz="0" w:space="0" w:color="auto"/>
        <w:left w:val="none" w:sz="0" w:space="0" w:color="auto"/>
        <w:bottom w:val="none" w:sz="0" w:space="0" w:color="auto"/>
        <w:right w:val="none" w:sz="0" w:space="0" w:color="auto"/>
      </w:divBdr>
    </w:div>
    <w:div w:id="1219441598">
      <w:bodyDiv w:val="1"/>
      <w:marLeft w:val="0"/>
      <w:marRight w:val="0"/>
      <w:marTop w:val="0"/>
      <w:marBottom w:val="0"/>
      <w:divBdr>
        <w:top w:val="none" w:sz="0" w:space="0" w:color="auto"/>
        <w:left w:val="none" w:sz="0" w:space="0" w:color="auto"/>
        <w:bottom w:val="none" w:sz="0" w:space="0" w:color="auto"/>
        <w:right w:val="none" w:sz="0" w:space="0" w:color="auto"/>
      </w:divBdr>
    </w:div>
    <w:div w:id="1291205086">
      <w:bodyDiv w:val="1"/>
      <w:marLeft w:val="0"/>
      <w:marRight w:val="0"/>
      <w:marTop w:val="0"/>
      <w:marBottom w:val="0"/>
      <w:divBdr>
        <w:top w:val="none" w:sz="0" w:space="0" w:color="auto"/>
        <w:left w:val="none" w:sz="0" w:space="0" w:color="auto"/>
        <w:bottom w:val="none" w:sz="0" w:space="0" w:color="auto"/>
        <w:right w:val="none" w:sz="0" w:space="0" w:color="auto"/>
      </w:divBdr>
    </w:div>
    <w:div w:id="1319529714">
      <w:bodyDiv w:val="1"/>
      <w:marLeft w:val="0"/>
      <w:marRight w:val="0"/>
      <w:marTop w:val="0"/>
      <w:marBottom w:val="0"/>
      <w:divBdr>
        <w:top w:val="none" w:sz="0" w:space="0" w:color="auto"/>
        <w:left w:val="none" w:sz="0" w:space="0" w:color="auto"/>
        <w:bottom w:val="none" w:sz="0" w:space="0" w:color="auto"/>
        <w:right w:val="none" w:sz="0" w:space="0" w:color="auto"/>
      </w:divBdr>
    </w:div>
    <w:div w:id="1527255439">
      <w:bodyDiv w:val="1"/>
      <w:marLeft w:val="0"/>
      <w:marRight w:val="0"/>
      <w:marTop w:val="0"/>
      <w:marBottom w:val="0"/>
      <w:divBdr>
        <w:top w:val="none" w:sz="0" w:space="0" w:color="auto"/>
        <w:left w:val="none" w:sz="0" w:space="0" w:color="auto"/>
        <w:bottom w:val="none" w:sz="0" w:space="0" w:color="auto"/>
        <w:right w:val="none" w:sz="0" w:space="0" w:color="auto"/>
      </w:divBdr>
    </w:div>
    <w:div w:id="1788155374">
      <w:bodyDiv w:val="1"/>
      <w:marLeft w:val="0"/>
      <w:marRight w:val="0"/>
      <w:marTop w:val="0"/>
      <w:marBottom w:val="0"/>
      <w:divBdr>
        <w:top w:val="none" w:sz="0" w:space="0" w:color="auto"/>
        <w:left w:val="none" w:sz="0" w:space="0" w:color="auto"/>
        <w:bottom w:val="none" w:sz="0" w:space="0" w:color="auto"/>
        <w:right w:val="none" w:sz="0" w:space="0" w:color="auto"/>
      </w:divBdr>
    </w:div>
    <w:div w:id="18403846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javascript:goToRef('3707')"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20</Pages>
  <Words>6068</Words>
  <Characters>33374</Characters>
  <Application>Microsoft Macintosh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34</cp:revision>
  <cp:lastPrinted>2020-02-09T09:56:00Z</cp:lastPrinted>
  <dcterms:created xsi:type="dcterms:W3CDTF">2020-02-08T19:57:00Z</dcterms:created>
  <dcterms:modified xsi:type="dcterms:W3CDTF">2021-03-12T05:24:00Z</dcterms:modified>
</cp:coreProperties>
</file>