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16F09" w14:textId="77777777" w:rsidR="00BE7C79" w:rsidRDefault="00BE7C79" w:rsidP="00BE7C79">
      <w:pPr>
        <w:shd w:val="clear" w:color="auto" w:fill="FFFFFF"/>
        <w:tabs>
          <w:tab w:val="num" w:pos="720"/>
        </w:tabs>
        <w:spacing w:after="120"/>
        <w:ind w:left="720" w:hanging="360"/>
        <w:outlineLvl w:val="3"/>
      </w:pPr>
    </w:p>
    <w:p w14:paraId="07739E31" w14:textId="05279CAE" w:rsidR="00BE7C79" w:rsidRDefault="00BE7C79" w:rsidP="00BE7C79">
      <w:pPr>
        <w:numPr>
          <w:ilvl w:val="0"/>
          <w:numId w:val="1"/>
        </w:numPr>
        <w:shd w:val="clear" w:color="auto" w:fill="FFFFFF"/>
        <w:spacing w:after="120"/>
        <w:outlineLvl w:val="3"/>
        <w:rPr>
          <w:rFonts w:ascii="Arial" w:eastAsia="Times New Roman" w:hAnsi="Arial" w:cs="Arial"/>
          <w:b/>
          <w:bCs/>
          <w:color w:val="4A5E81"/>
          <w:sz w:val="40"/>
          <w:szCs w:val="40"/>
          <w:lang w:eastAsia="fr-FR"/>
        </w:rPr>
      </w:pPr>
      <w:r w:rsidRPr="00BE7C79">
        <w:rPr>
          <w:rFonts w:ascii="Arial" w:eastAsia="Times New Roman" w:hAnsi="Arial" w:cs="Arial"/>
          <w:b/>
          <w:bCs/>
          <w:color w:val="4A5E81"/>
          <w:sz w:val="40"/>
          <w:szCs w:val="40"/>
          <w:lang w:eastAsia="fr-FR"/>
        </w:rPr>
        <w:t>Décret n° 2012-1246 du 7 novembre 2012 sur la Gestion Budgétaire et comptable publique</w:t>
      </w:r>
    </w:p>
    <w:p w14:paraId="2A2C2013" w14:textId="77777777" w:rsidR="00BE7C79" w:rsidRPr="00BE7C79" w:rsidRDefault="00BE7C79" w:rsidP="00BE7C79">
      <w:pPr>
        <w:shd w:val="clear" w:color="auto" w:fill="FFFFFF"/>
        <w:spacing w:after="120"/>
        <w:outlineLvl w:val="3"/>
        <w:rPr>
          <w:rFonts w:ascii="Arial" w:eastAsia="Times New Roman" w:hAnsi="Arial" w:cs="Arial"/>
          <w:b/>
          <w:bCs/>
          <w:color w:val="4A5E81"/>
          <w:sz w:val="40"/>
          <w:szCs w:val="40"/>
          <w:lang w:eastAsia="fr-FR"/>
        </w:rPr>
      </w:pPr>
    </w:p>
    <w:p w14:paraId="5C5BCA41" w14:textId="756D917F" w:rsidR="00BE7C79" w:rsidRPr="00BE7C79" w:rsidRDefault="00BE7C79" w:rsidP="00BE7C79">
      <w:pPr>
        <w:numPr>
          <w:ilvl w:val="0"/>
          <w:numId w:val="1"/>
        </w:numPr>
        <w:shd w:val="clear" w:color="auto" w:fill="FFFFFF"/>
        <w:spacing w:after="120"/>
        <w:outlineLvl w:val="3"/>
        <w:rPr>
          <w:rFonts w:ascii="Arial" w:eastAsia="Times New Roman" w:hAnsi="Arial" w:cs="Arial"/>
          <w:b/>
          <w:bCs/>
          <w:color w:val="4A5E81"/>
          <w:sz w:val="32"/>
          <w:szCs w:val="32"/>
          <w:lang w:eastAsia="fr-FR"/>
        </w:rPr>
      </w:pPr>
      <w:hyperlink r:id="rId5" w:history="1">
        <w:r w:rsidRPr="00BE7C79">
          <w:rPr>
            <w:rFonts w:ascii="Arial" w:eastAsia="Times New Roman" w:hAnsi="Arial" w:cs="Arial"/>
            <w:b/>
            <w:bCs/>
            <w:color w:val="4A5E81"/>
            <w:sz w:val="32"/>
            <w:szCs w:val="32"/>
            <w:u w:val="single"/>
            <w:lang w:eastAsia="fr-FR"/>
          </w:rPr>
          <w:t>Article 19</w:t>
        </w:r>
      </w:hyperlink>
    </w:p>
    <w:p w14:paraId="76A95C3C" w14:textId="2487DE64" w:rsidR="00BE7C79" w:rsidRPr="00BE7C79" w:rsidRDefault="00BE7C79" w:rsidP="00BE7C79">
      <w:pPr>
        <w:shd w:val="clear" w:color="auto" w:fill="FFFFFF"/>
        <w:spacing w:after="240"/>
        <w:ind w:left="426"/>
        <w:rPr>
          <w:rFonts w:ascii="Arial" w:eastAsia="Times New Roman" w:hAnsi="Arial" w:cs="Arial"/>
          <w:color w:val="3C3C3C"/>
          <w:sz w:val="32"/>
          <w:szCs w:val="32"/>
          <w:lang w:eastAsia="fr-FR"/>
        </w:rPr>
      </w:pPr>
      <w:r w:rsidRPr="00BE7C79">
        <w:rPr>
          <w:rFonts w:ascii="Arial" w:eastAsia="Times New Roman" w:hAnsi="Arial" w:cs="Arial"/>
          <w:color w:val="3C3C3C"/>
          <w:sz w:val="32"/>
          <w:szCs w:val="32"/>
          <w:lang w:eastAsia="fr-FR"/>
        </w:rPr>
        <w:br/>
        <w:t>Le comptable public est tenu d'exercer le contrôle :</w:t>
      </w:r>
      <w:r w:rsidRPr="00BE7C79">
        <w:rPr>
          <w:rFonts w:ascii="Arial" w:eastAsia="Times New Roman" w:hAnsi="Arial" w:cs="Arial"/>
          <w:color w:val="3C3C3C"/>
          <w:sz w:val="32"/>
          <w:szCs w:val="32"/>
          <w:lang w:eastAsia="fr-FR"/>
        </w:rPr>
        <w:br/>
      </w:r>
      <w:r w:rsidRPr="00BE7C79">
        <w:rPr>
          <w:rFonts w:ascii="Arial" w:eastAsia="Times New Roman" w:hAnsi="Arial" w:cs="Arial"/>
          <w:b/>
          <w:bCs/>
          <w:color w:val="3C3C3C"/>
          <w:sz w:val="32"/>
          <w:szCs w:val="32"/>
          <w:lang w:eastAsia="fr-FR"/>
        </w:rPr>
        <w:t>1° S'agissant des ordres de recouvrer :</w:t>
      </w:r>
      <w:r w:rsidRPr="00BE7C79">
        <w:rPr>
          <w:rFonts w:ascii="Arial" w:eastAsia="Times New Roman" w:hAnsi="Arial" w:cs="Arial"/>
          <w:b/>
          <w:bCs/>
          <w:color w:val="3C3C3C"/>
          <w:sz w:val="32"/>
          <w:szCs w:val="32"/>
          <w:lang w:eastAsia="fr-FR"/>
        </w:rPr>
        <w:br/>
      </w:r>
      <w:r w:rsidRPr="00BE7C79">
        <w:rPr>
          <w:rFonts w:ascii="Arial" w:eastAsia="Times New Roman" w:hAnsi="Arial" w:cs="Arial"/>
          <w:color w:val="3C3C3C"/>
          <w:sz w:val="32"/>
          <w:szCs w:val="32"/>
          <w:lang w:eastAsia="fr-FR"/>
        </w:rPr>
        <w:t>a) De la régularité de l'autorisation de percevoir la recette ;</w:t>
      </w:r>
      <w:r w:rsidRPr="00BE7C79">
        <w:rPr>
          <w:rFonts w:ascii="Arial" w:eastAsia="Times New Roman" w:hAnsi="Arial" w:cs="Arial"/>
          <w:color w:val="3C3C3C"/>
          <w:sz w:val="32"/>
          <w:szCs w:val="32"/>
          <w:lang w:eastAsia="fr-FR"/>
        </w:rPr>
        <w:br/>
        <w:t>b) Dans la limite des éléments dont il dispose, de la mise en recouvrement des créances et de la régularité des réductions et des annulations des ordres de recouvrer ;</w:t>
      </w:r>
      <w:r w:rsidRPr="00BE7C79">
        <w:rPr>
          <w:rFonts w:ascii="Arial" w:eastAsia="Times New Roman" w:hAnsi="Arial" w:cs="Arial"/>
          <w:color w:val="3C3C3C"/>
          <w:sz w:val="32"/>
          <w:szCs w:val="32"/>
          <w:lang w:eastAsia="fr-FR"/>
        </w:rPr>
        <w:br/>
      </w:r>
      <w:r w:rsidRPr="00BE7C79">
        <w:rPr>
          <w:rFonts w:ascii="Arial" w:eastAsia="Times New Roman" w:hAnsi="Arial" w:cs="Arial"/>
          <w:b/>
          <w:bCs/>
          <w:color w:val="3C3C3C"/>
          <w:sz w:val="32"/>
          <w:szCs w:val="32"/>
          <w:lang w:eastAsia="fr-FR"/>
        </w:rPr>
        <w:t>2° S'agissant des ordres de payer :</w:t>
      </w:r>
      <w:r w:rsidRPr="00BE7C79">
        <w:rPr>
          <w:rFonts w:ascii="Arial" w:eastAsia="Times New Roman" w:hAnsi="Arial" w:cs="Arial"/>
          <w:b/>
          <w:bCs/>
          <w:color w:val="3C3C3C"/>
          <w:sz w:val="32"/>
          <w:szCs w:val="32"/>
          <w:lang w:eastAsia="fr-FR"/>
        </w:rPr>
        <w:br/>
      </w:r>
      <w:r w:rsidRPr="00200ED7">
        <w:rPr>
          <w:rFonts w:ascii="Arial" w:eastAsia="Times New Roman" w:hAnsi="Arial" w:cs="Arial"/>
          <w:color w:val="3C3C3C"/>
          <w:sz w:val="32"/>
          <w:szCs w:val="32"/>
          <w:shd w:val="clear" w:color="auto" w:fill="FFE578"/>
          <w:lang w:eastAsia="fr-FR"/>
        </w:rPr>
        <w:t>a) De la qualité de l'ordonnateur ;</w:t>
      </w:r>
      <w:r w:rsidRPr="00200ED7">
        <w:rPr>
          <w:rFonts w:ascii="Arial" w:eastAsia="Times New Roman" w:hAnsi="Arial" w:cs="Arial"/>
          <w:color w:val="3C3C3C"/>
          <w:sz w:val="32"/>
          <w:szCs w:val="32"/>
          <w:shd w:val="clear" w:color="auto" w:fill="FFE578"/>
          <w:lang w:eastAsia="fr-FR"/>
        </w:rPr>
        <w:br/>
        <w:t>b) De l'exacte imputation des dépenses au regard des règles relatives à la spécialité des crédits ;</w:t>
      </w:r>
      <w:r w:rsidRPr="00200ED7">
        <w:rPr>
          <w:rFonts w:ascii="Arial" w:eastAsia="Times New Roman" w:hAnsi="Arial" w:cs="Arial"/>
          <w:color w:val="3C3C3C"/>
          <w:sz w:val="32"/>
          <w:szCs w:val="32"/>
          <w:shd w:val="clear" w:color="auto" w:fill="FFE578"/>
          <w:lang w:eastAsia="fr-FR"/>
        </w:rPr>
        <w:br/>
        <w:t>c) De la disponibilité des crédits ;</w:t>
      </w:r>
      <w:r w:rsidRPr="00200ED7">
        <w:rPr>
          <w:rFonts w:ascii="Arial" w:eastAsia="Times New Roman" w:hAnsi="Arial" w:cs="Arial"/>
          <w:color w:val="3C3C3C"/>
          <w:sz w:val="32"/>
          <w:szCs w:val="32"/>
          <w:shd w:val="clear" w:color="auto" w:fill="FFE578"/>
          <w:lang w:eastAsia="fr-FR"/>
        </w:rPr>
        <w:br/>
      </w:r>
      <w:r w:rsidRPr="00200ED7">
        <w:rPr>
          <w:rFonts w:ascii="Arial" w:eastAsia="Times New Roman" w:hAnsi="Arial" w:cs="Arial"/>
          <w:color w:val="3C3C3C"/>
          <w:sz w:val="32"/>
          <w:szCs w:val="32"/>
          <w:shd w:val="clear" w:color="auto" w:fill="FFB8F5"/>
          <w:lang w:eastAsia="fr-FR"/>
        </w:rPr>
        <w:t>d) De la validité de la dette dans les conditions prévues à l'art. 20 ;</w:t>
      </w:r>
      <w:r w:rsidRPr="00200ED7">
        <w:rPr>
          <w:rFonts w:ascii="Arial" w:eastAsia="Times New Roman" w:hAnsi="Arial" w:cs="Arial"/>
          <w:color w:val="3C3C3C"/>
          <w:sz w:val="32"/>
          <w:szCs w:val="32"/>
          <w:shd w:val="clear" w:color="auto" w:fill="FFB8F5"/>
          <w:lang w:eastAsia="fr-FR"/>
        </w:rPr>
        <w:br/>
      </w:r>
      <w:r w:rsidRPr="00200ED7">
        <w:rPr>
          <w:rFonts w:ascii="Arial" w:eastAsia="Times New Roman" w:hAnsi="Arial" w:cs="Arial"/>
          <w:color w:val="3C3C3C"/>
          <w:sz w:val="32"/>
          <w:szCs w:val="32"/>
          <w:shd w:val="clear" w:color="auto" w:fill="FFE578"/>
          <w:lang w:eastAsia="fr-FR"/>
        </w:rPr>
        <w:t>e) Du caractère libératoire du paiement ;</w:t>
      </w:r>
      <w:r w:rsidRPr="00200ED7">
        <w:rPr>
          <w:rFonts w:ascii="Arial" w:eastAsia="Times New Roman" w:hAnsi="Arial" w:cs="Arial"/>
          <w:color w:val="3C3C3C"/>
          <w:sz w:val="32"/>
          <w:szCs w:val="32"/>
          <w:shd w:val="clear" w:color="auto" w:fill="FFE578"/>
          <w:lang w:eastAsia="fr-FR"/>
        </w:rPr>
        <w:br/>
      </w:r>
      <w:r w:rsidRPr="00BE7C79">
        <w:rPr>
          <w:rFonts w:ascii="Arial" w:eastAsia="Times New Roman" w:hAnsi="Arial" w:cs="Arial"/>
          <w:b/>
          <w:bCs/>
          <w:color w:val="3C3C3C"/>
          <w:sz w:val="32"/>
          <w:szCs w:val="32"/>
          <w:lang w:eastAsia="fr-FR"/>
        </w:rPr>
        <w:t>3° S'agissant du patrimoine :</w:t>
      </w:r>
      <w:r w:rsidRPr="00BE7C79">
        <w:rPr>
          <w:rFonts w:ascii="Arial" w:eastAsia="Times New Roman" w:hAnsi="Arial" w:cs="Arial"/>
          <w:b/>
          <w:bCs/>
          <w:color w:val="3C3C3C"/>
          <w:sz w:val="32"/>
          <w:szCs w:val="32"/>
          <w:lang w:eastAsia="fr-FR"/>
        </w:rPr>
        <w:br/>
      </w:r>
      <w:r w:rsidRPr="00BE7C79">
        <w:rPr>
          <w:rFonts w:ascii="Arial" w:eastAsia="Times New Roman" w:hAnsi="Arial" w:cs="Arial"/>
          <w:color w:val="3C3C3C"/>
          <w:sz w:val="32"/>
          <w:szCs w:val="32"/>
          <w:lang w:eastAsia="fr-FR"/>
        </w:rPr>
        <w:t>a) De la conservation des valeurs inactives ;</w:t>
      </w:r>
      <w:r w:rsidRPr="00BE7C79">
        <w:rPr>
          <w:rFonts w:ascii="Arial" w:eastAsia="Times New Roman" w:hAnsi="Arial" w:cs="Arial"/>
          <w:color w:val="3C3C3C"/>
          <w:sz w:val="32"/>
          <w:szCs w:val="32"/>
          <w:lang w:eastAsia="fr-FR"/>
        </w:rPr>
        <w:br/>
        <w:t>b) Des droits, privilèges et hypothèques.</w:t>
      </w:r>
    </w:p>
    <w:p w14:paraId="3A21562C" w14:textId="0DB1BCEC" w:rsidR="00BE7C79" w:rsidRPr="00BE7C79" w:rsidRDefault="00BE7C79" w:rsidP="00200ED7">
      <w:pPr>
        <w:numPr>
          <w:ilvl w:val="0"/>
          <w:numId w:val="1"/>
        </w:numPr>
        <w:tabs>
          <w:tab w:val="left" w:pos="426"/>
        </w:tabs>
        <w:spacing w:after="120"/>
        <w:ind w:hanging="436"/>
        <w:outlineLvl w:val="3"/>
        <w:rPr>
          <w:rFonts w:ascii="Arial" w:eastAsia="Times New Roman" w:hAnsi="Arial" w:cs="Arial"/>
          <w:b/>
          <w:bCs/>
          <w:color w:val="4A5E81"/>
          <w:sz w:val="32"/>
          <w:szCs w:val="32"/>
          <w:lang w:eastAsia="fr-FR"/>
        </w:rPr>
      </w:pPr>
      <w:hyperlink r:id="rId6" w:history="1">
        <w:r w:rsidRPr="00BE7C79">
          <w:rPr>
            <w:rFonts w:ascii="Arial" w:eastAsia="Times New Roman" w:hAnsi="Arial" w:cs="Arial"/>
            <w:b/>
            <w:bCs/>
            <w:color w:val="4A5E81"/>
            <w:sz w:val="32"/>
            <w:szCs w:val="32"/>
            <w:u w:val="single"/>
            <w:lang w:eastAsia="fr-FR"/>
          </w:rPr>
          <w:t>Article 20</w:t>
        </w:r>
      </w:hyperlink>
    </w:p>
    <w:p w14:paraId="00EB00C0" w14:textId="786CF30F" w:rsidR="001C6F8F" w:rsidRPr="00BE7C79" w:rsidRDefault="00BE7C79" w:rsidP="00200ED7">
      <w:pPr>
        <w:spacing w:after="240"/>
        <w:ind w:left="720"/>
        <w:rPr>
          <w:rFonts w:ascii="Arial" w:eastAsia="Times New Roman" w:hAnsi="Arial" w:cs="Arial"/>
          <w:color w:val="3C3C3C"/>
          <w:sz w:val="32"/>
          <w:szCs w:val="32"/>
          <w:lang w:eastAsia="fr-FR"/>
        </w:rPr>
      </w:pPr>
      <w:r w:rsidRPr="00200ED7">
        <w:rPr>
          <w:rFonts w:ascii="Arial" w:eastAsia="Times New Roman" w:hAnsi="Arial" w:cs="Arial"/>
          <w:color w:val="3C3C3C"/>
          <w:sz w:val="32"/>
          <w:szCs w:val="32"/>
          <w:lang w:eastAsia="fr-FR"/>
        </w:rPr>
        <w:br/>
      </w:r>
      <w:r w:rsidRPr="00200ED7">
        <w:rPr>
          <w:rFonts w:ascii="Arial" w:eastAsia="Times New Roman" w:hAnsi="Arial" w:cs="Arial"/>
          <w:color w:val="3C3C3C"/>
          <w:sz w:val="32"/>
          <w:szCs w:val="32"/>
          <w:shd w:val="clear" w:color="auto" w:fill="FFB8F5"/>
          <w:lang w:eastAsia="fr-FR"/>
        </w:rPr>
        <w:t>Le contrôle des comptables publics sur la validité de la dette porte sur :</w:t>
      </w:r>
      <w:r w:rsidRPr="00200ED7">
        <w:rPr>
          <w:rFonts w:ascii="Arial" w:eastAsia="Times New Roman" w:hAnsi="Arial" w:cs="Arial"/>
          <w:color w:val="3C3C3C"/>
          <w:sz w:val="32"/>
          <w:szCs w:val="32"/>
          <w:lang w:eastAsia="fr-FR"/>
        </w:rPr>
        <w:br/>
      </w:r>
      <w:r w:rsidRPr="00200ED7">
        <w:rPr>
          <w:rFonts w:ascii="Arial" w:eastAsia="Times New Roman" w:hAnsi="Arial" w:cs="Arial"/>
          <w:color w:val="3C3C3C"/>
          <w:sz w:val="32"/>
          <w:szCs w:val="32"/>
          <w:shd w:val="clear" w:color="auto" w:fill="A0F740"/>
          <w:lang w:eastAsia="fr-FR"/>
        </w:rPr>
        <w:t>1° La justification du service fait ;</w:t>
      </w:r>
      <w:r w:rsidRPr="00200ED7">
        <w:rPr>
          <w:rFonts w:ascii="Arial" w:eastAsia="Times New Roman" w:hAnsi="Arial" w:cs="Arial"/>
          <w:color w:val="3C3C3C"/>
          <w:sz w:val="32"/>
          <w:szCs w:val="32"/>
          <w:shd w:val="clear" w:color="auto" w:fill="A0F740"/>
          <w:lang w:eastAsia="fr-FR"/>
        </w:rPr>
        <w:br/>
        <w:t>2° L'exactitude de la liquidation ;</w:t>
      </w:r>
      <w:r w:rsidRPr="00200ED7">
        <w:rPr>
          <w:rFonts w:ascii="Arial" w:eastAsia="Times New Roman" w:hAnsi="Arial" w:cs="Arial"/>
          <w:color w:val="3C3C3C"/>
          <w:sz w:val="32"/>
          <w:szCs w:val="32"/>
          <w:shd w:val="clear" w:color="auto" w:fill="A0F740"/>
          <w:lang w:eastAsia="fr-FR"/>
        </w:rPr>
        <w:br/>
      </w:r>
      <w:r w:rsidRPr="00200ED7">
        <w:rPr>
          <w:rFonts w:ascii="Arial" w:eastAsia="Times New Roman" w:hAnsi="Arial" w:cs="Arial"/>
          <w:color w:val="3C3C3C"/>
          <w:sz w:val="32"/>
          <w:szCs w:val="32"/>
          <w:lang w:eastAsia="fr-FR"/>
        </w:rPr>
        <w:t>3° L'intervention des contrôles préalables prescrits par la réglementation ;</w:t>
      </w:r>
      <w:r w:rsidRPr="00200ED7">
        <w:rPr>
          <w:rFonts w:ascii="Arial" w:eastAsia="Times New Roman" w:hAnsi="Arial" w:cs="Arial"/>
          <w:color w:val="3C3C3C"/>
          <w:sz w:val="32"/>
          <w:szCs w:val="32"/>
          <w:lang w:eastAsia="fr-FR"/>
        </w:rPr>
        <w:br/>
        <w:t>4° Dans la mesure où les règles propres à chaque personne morale mentionnée à l'article 1er le prévoient, l'existence du visa ou de l'avis préalable du contrôleur budgétaire sur les engagements ;</w:t>
      </w:r>
      <w:r w:rsidRPr="00200ED7">
        <w:rPr>
          <w:rFonts w:ascii="Arial" w:eastAsia="Times New Roman" w:hAnsi="Arial" w:cs="Arial"/>
          <w:color w:val="3C3C3C"/>
          <w:sz w:val="32"/>
          <w:szCs w:val="32"/>
          <w:lang w:eastAsia="fr-FR"/>
        </w:rPr>
        <w:br/>
      </w:r>
      <w:r w:rsidRPr="00200ED7">
        <w:rPr>
          <w:rFonts w:ascii="Arial" w:eastAsia="Times New Roman" w:hAnsi="Arial" w:cs="Arial"/>
          <w:color w:val="3C3C3C"/>
          <w:sz w:val="32"/>
          <w:szCs w:val="32"/>
          <w:shd w:val="clear" w:color="auto" w:fill="48FFF1"/>
          <w:lang w:eastAsia="fr-FR"/>
        </w:rPr>
        <w:t>5° La production des pièces justificatives ;</w:t>
      </w:r>
      <w:r w:rsidRPr="00200ED7">
        <w:rPr>
          <w:rFonts w:ascii="Arial" w:eastAsia="Times New Roman" w:hAnsi="Arial" w:cs="Arial"/>
          <w:color w:val="3C3C3C"/>
          <w:sz w:val="32"/>
          <w:szCs w:val="32"/>
          <w:shd w:val="clear" w:color="auto" w:fill="48FFF1"/>
          <w:lang w:eastAsia="fr-FR"/>
        </w:rPr>
        <w:br/>
      </w:r>
      <w:r w:rsidRPr="00200ED7">
        <w:rPr>
          <w:rFonts w:ascii="Arial" w:eastAsia="Times New Roman" w:hAnsi="Arial" w:cs="Arial"/>
          <w:color w:val="3C3C3C"/>
          <w:sz w:val="32"/>
          <w:szCs w:val="32"/>
          <w:shd w:val="clear" w:color="auto" w:fill="DBC0FF"/>
          <w:lang w:eastAsia="fr-FR"/>
        </w:rPr>
        <w:t>6° L'application des règles de prescription et de déchéance.</w:t>
      </w:r>
    </w:p>
    <w:sectPr w:rsidR="001C6F8F" w:rsidRPr="00BE7C79" w:rsidSect="00BE7C79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1053A"/>
    <w:multiLevelType w:val="multilevel"/>
    <w:tmpl w:val="51B6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430A56"/>
    <w:multiLevelType w:val="multilevel"/>
    <w:tmpl w:val="51E41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6819B9"/>
    <w:multiLevelType w:val="multilevel"/>
    <w:tmpl w:val="26644A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79"/>
    <w:rsid w:val="001C6F8F"/>
    <w:rsid w:val="00200ED7"/>
    <w:rsid w:val="00BE7C79"/>
    <w:rsid w:val="00F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3B07C7"/>
  <w15:chartTrackingRefBased/>
  <w15:docId w15:val="{0C6A16AF-C14B-164F-A97C-6CF72659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BE7C7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BE7C79"/>
    <w:rPr>
      <w:rFonts w:ascii="Times New Roman" w:eastAsia="Times New Roman" w:hAnsi="Times New Roman" w:cs="Times New Roman"/>
      <w:b/>
      <w:bCs/>
      <w:lang w:eastAsia="fr-FR"/>
    </w:rPr>
  </w:style>
  <w:style w:type="paragraph" w:customStyle="1" w:styleId="opened">
    <w:name w:val="opened"/>
    <w:basedOn w:val="Normal"/>
    <w:rsid w:val="00BE7C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E7C7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E7C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3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0447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2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20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41086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france.gouv.fr/jorf/article_jo/JORFARTI000026597153?r=N8OBRPZFUG" TargetMode="External"/><Relationship Id="rId5" Type="http://schemas.openxmlformats.org/officeDocument/2006/relationships/hyperlink" Target="https://www.legifrance.gouv.fr/jorf/article_jo/JORFARTI000026597152?r=N8OBRPZFU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246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2</cp:revision>
  <dcterms:created xsi:type="dcterms:W3CDTF">2021-02-14T23:09:00Z</dcterms:created>
  <dcterms:modified xsi:type="dcterms:W3CDTF">2021-02-22T16:05:00Z</dcterms:modified>
</cp:coreProperties>
</file>