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6EDB" w14:textId="77777777" w:rsidR="00BE4E60" w:rsidRPr="00BE4E60" w:rsidRDefault="00BE4E60" w:rsidP="00BE4E60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</w:pPr>
      <w:r w:rsidRPr="00BE4E60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LES CONTRÔLES DU COMPTABLE</w:t>
      </w:r>
    </w:p>
    <w:p w14:paraId="6BE5A66B" w14:textId="77777777" w:rsidR="00BE4E60" w:rsidRPr="00BE4E60" w:rsidRDefault="00BE4E60" w:rsidP="00BE4E60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</w:pPr>
      <w:r w:rsidRPr="00BE4E60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AVANT PAIEMENT DES DÉPENSES PUBLIQUES</w:t>
      </w:r>
    </w:p>
    <w:p w14:paraId="642E4610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5E42C2EE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423D0C9D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3B19A8F2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Décret n°2012-1246 du 7 novembre 2012 sur la Gestion Budgétaire et Comptable Publique</w:t>
      </w:r>
    </w:p>
    <w:p w14:paraId="62731172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737131D4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5891960A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6435D991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00E88B03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7429A4D0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7CA4BEA4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5732815A" w14:textId="77777777" w:rsid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47994990" w14:textId="77777777" w:rsidR="00BE4E60" w:rsidRP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BE4E6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Article 19</w:t>
      </w:r>
    </w:p>
    <w:p w14:paraId="5EA7FA6B" w14:textId="77777777" w:rsidR="00BE4E60" w:rsidRPr="00BE4E60" w:rsidRDefault="00BE4E60" w:rsidP="00BE4E60">
      <w:pPr>
        <w:rPr>
          <w:rFonts w:ascii="Arial" w:hAnsi="Arial" w:cs="Arial"/>
          <w:color w:val="000000"/>
          <w:sz w:val="28"/>
          <w:szCs w:val="28"/>
          <w:lang w:eastAsia="fr-FR"/>
        </w:rPr>
      </w:pP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Le comptable public est tenu d'exercer le contrôle :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t>1° S'agissant des ordres de recouvrer :</w:t>
      </w:r>
      <w:r w:rsidRPr="00BE4E60">
        <w:rPr>
          <w:rFonts w:ascii="PMingLiU" w:eastAsia="PMingLiU" w:hAnsi="PMingLiU" w:cs="PMingLiU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t>a) De la régularité de l'autorisation de percevoir la recette ;</w:t>
      </w:r>
      <w:r w:rsidRPr="00BE4E60">
        <w:rPr>
          <w:rFonts w:ascii="PMingLiU" w:eastAsia="PMingLiU" w:hAnsi="PMingLiU" w:cs="PMingLiU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t>b) Dans la limite des éléments dont il dispose, de la mise en recouvrement des créances et de la régularité des réductions et des annulations des ordres de recouvrer ;</w:t>
      </w:r>
      <w:r w:rsidRPr="00BE4E60">
        <w:rPr>
          <w:rFonts w:ascii="PMingLiU" w:eastAsia="PMingLiU" w:hAnsi="PMingLiU" w:cs="PMingLiU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2° S'agissant des ordres de payer :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a) De la qualité de l'ordonnateur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b) De l'exacte imputation des dépenses au regard des règles relatives à la spécialité des crédits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c) De la disponibilité des crédits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d) De la validité de la dette dans les conditions prévues à l'article 20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e) Du caractère libératoire du paiement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t>3° S'agissant du patrimoine :</w:t>
      </w:r>
      <w:r w:rsidRPr="00BE4E60">
        <w:rPr>
          <w:rFonts w:ascii="PMingLiU" w:eastAsia="PMingLiU" w:hAnsi="PMingLiU" w:cs="PMingLiU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t>a) De la conservation des valeurs inactives ;</w:t>
      </w:r>
      <w:r w:rsidRPr="00BE4E60">
        <w:rPr>
          <w:rFonts w:ascii="PMingLiU" w:eastAsia="PMingLiU" w:hAnsi="PMingLiU" w:cs="PMingLiU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t>b) Des droits, privilèges et hypothèques.</w:t>
      </w:r>
    </w:p>
    <w:p w14:paraId="6D3EC44B" w14:textId="77777777" w:rsidR="00BE4E60" w:rsidRPr="00BE4E60" w:rsidRDefault="00BE4E60" w:rsidP="00BE4E60">
      <w:pPr>
        <w:rPr>
          <w:rFonts w:ascii="Arial" w:hAnsi="Arial" w:cs="Arial"/>
          <w:color w:val="000000"/>
          <w:sz w:val="28"/>
          <w:szCs w:val="28"/>
          <w:lang w:eastAsia="fr-FR"/>
        </w:rPr>
      </w:pPr>
    </w:p>
    <w:p w14:paraId="1BFD60E4" w14:textId="77777777" w:rsidR="00BE4E60" w:rsidRPr="00BE4E60" w:rsidRDefault="00BE4E60" w:rsidP="00BE4E60">
      <w:pPr>
        <w:rPr>
          <w:rFonts w:ascii="Arial" w:hAnsi="Arial" w:cs="Arial"/>
          <w:color w:val="000000"/>
          <w:sz w:val="28"/>
          <w:szCs w:val="28"/>
          <w:lang w:eastAsia="fr-FR"/>
        </w:rPr>
      </w:pPr>
    </w:p>
    <w:p w14:paraId="627AD72E" w14:textId="77777777" w:rsidR="00BE4E60" w:rsidRPr="00BE4E60" w:rsidRDefault="00BE4E60" w:rsidP="00BE4E6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bookmarkStart w:id="0" w:name="JORFARTI000026597153"/>
      <w:bookmarkEnd w:id="0"/>
      <w:r w:rsidRPr="00BE4E6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Article 20</w:t>
      </w:r>
    </w:p>
    <w:p w14:paraId="1D9DDD13" w14:textId="77777777" w:rsidR="00BE4E60" w:rsidRPr="00BE4E60" w:rsidRDefault="00BE4E60" w:rsidP="00BE4E60">
      <w:pPr>
        <w:rPr>
          <w:rFonts w:ascii="Arial" w:hAnsi="Arial" w:cs="Arial"/>
          <w:b/>
          <w:color w:val="000000"/>
          <w:sz w:val="28"/>
          <w:szCs w:val="28"/>
          <w:lang w:eastAsia="fr-FR"/>
        </w:rPr>
      </w:pPr>
      <w:bookmarkStart w:id="1" w:name="_GoBack"/>
      <w:bookmarkEnd w:id="1"/>
      <w:r w:rsidRPr="00BE4E60">
        <w:rPr>
          <w:rFonts w:ascii="Arial" w:hAnsi="Arial" w:cs="Arial"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Le contrôle des comptables publics sur la validité de la dette porte sur :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1° La justification du service fait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2° L'exactitude de la liquidation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3° L'intervention des contrôles préalables prescrits par la réglementation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4° Dans la mesure où les règles propres à chaque personne morale mentionnée à l'article 1er le prévoient, l'existence du visa ou de l'avis préalable du contrôleur budgétaire sur les engagements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5° La production des pièces justificatives ;</w:t>
      </w:r>
      <w:r w:rsidRPr="00BE4E60">
        <w:rPr>
          <w:rFonts w:ascii="PMingLiU" w:eastAsia="PMingLiU" w:hAnsi="PMingLiU" w:cs="PMingLiU"/>
          <w:b/>
          <w:color w:val="000000"/>
          <w:sz w:val="28"/>
          <w:szCs w:val="28"/>
          <w:lang w:eastAsia="fr-FR"/>
        </w:rPr>
        <w:br/>
      </w:r>
      <w:r w:rsidRPr="00BE4E60">
        <w:rPr>
          <w:rFonts w:ascii="Arial" w:hAnsi="Arial" w:cs="Arial"/>
          <w:b/>
          <w:color w:val="000000"/>
          <w:sz w:val="28"/>
          <w:szCs w:val="28"/>
          <w:lang w:eastAsia="fr-FR"/>
        </w:rPr>
        <w:t>6° L'application des règles de prescription et de déchéance.</w:t>
      </w:r>
    </w:p>
    <w:p w14:paraId="4C36E1D1" w14:textId="77777777" w:rsidR="009E056F" w:rsidRPr="00BE4E60" w:rsidRDefault="00BE4E60">
      <w:pPr>
        <w:rPr>
          <w:sz w:val="28"/>
          <w:szCs w:val="28"/>
        </w:rPr>
      </w:pPr>
    </w:p>
    <w:sectPr w:rsidR="009E056F" w:rsidRPr="00BE4E60" w:rsidSect="00BE4E6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60"/>
    <w:rsid w:val="00621C24"/>
    <w:rsid w:val="00A478FF"/>
    <w:rsid w:val="00B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26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4E60"/>
  </w:style>
  <w:style w:type="character" w:styleId="Lienhypertexte">
    <w:name w:val="Hyperlink"/>
    <w:basedOn w:val="Policepardfaut"/>
    <w:uiPriority w:val="99"/>
    <w:semiHidden/>
    <w:unhideWhenUsed/>
    <w:rsid w:val="00BE4E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6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1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1258</Characters>
  <Application>Microsoft Macintosh Word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DOUAT</dc:creator>
  <cp:keywords/>
  <dc:description/>
  <cp:lastModifiedBy>Etienne DOUAT</cp:lastModifiedBy>
  <cp:revision>1</cp:revision>
  <dcterms:created xsi:type="dcterms:W3CDTF">2019-01-22T13:56:00Z</dcterms:created>
  <dcterms:modified xsi:type="dcterms:W3CDTF">2019-01-22T14:01:00Z</dcterms:modified>
</cp:coreProperties>
</file>