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4C178" w14:textId="1F93175D" w:rsidR="00E75D77" w:rsidRPr="00E75D77" w:rsidRDefault="00E75D77" w:rsidP="00E75D77">
      <w:pPr>
        <w:jc w:val="center"/>
        <w:rPr>
          <w:b/>
          <w:bCs/>
          <w:sz w:val="52"/>
          <w:szCs w:val="52"/>
          <w:u w:val="single"/>
        </w:rPr>
      </w:pPr>
      <w:r w:rsidRPr="00E75D77">
        <w:rPr>
          <w:b/>
          <w:bCs/>
          <w:sz w:val="52"/>
          <w:szCs w:val="52"/>
          <w:u w:val="single"/>
        </w:rPr>
        <w:t>LES 10 LEÇONS DE FINANCES LOCALES</w:t>
      </w:r>
    </w:p>
    <w:p w14:paraId="68F4176F" w14:textId="7733F68E" w:rsidR="00E75D77" w:rsidRDefault="00E75D77" w:rsidP="00E75D77">
      <w:pPr>
        <w:jc w:val="center"/>
        <w:rPr>
          <w:b/>
          <w:bCs/>
          <w:sz w:val="40"/>
          <w:szCs w:val="40"/>
        </w:rPr>
      </w:pPr>
    </w:p>
    <w:p w14:paraId="1F86A1BF" w14:textId="0AF7CF1E" w:rsidR="00E75D77" w:rsidRDefault="00E75D77" w:rsidP="00E75D77">
      <w:pPr>
        <w:jc w:val="center"/>
        <w:rPr>
          <w:b/>
          <w:bCs/>
          <w:sz w:val="40"/>
          <w:szCs w:val="40"/>
        </w:rPr>
      </w:pPr>
    </w:p>
    <w:p w14:paraId="5FD16440" w14:textId="7EFFC77C" w:rsidR="00E75D77" w:rsidRDefault="00E75D77" w:rsidP="00E75D77">
      <w:pPr>
        <w:jc w:val="center"/>
        <w:rPr>
          <w:b/>
          <w:bCs/>
          <w:sz w:val="40"/>
          <w:szCs w:val="40"/>
        </w:rPr>
      </w:pPr>
    </w:p>
    <w:p w14:paraId="3594D0E4" w14:textId="291E8396" w:rsidR="00E75D77" w:rsidRDefault="00E75D77" w:rsidP="00E75D77">
      <w:pPr>
        <w:jc w:val="center"/>
        <w:rPr>
          <w:b/>
          <w:bCs/>
          <w:sz w:val="40"/>
          <w:szCs w:val="40"/>
        </w:rPr>
      </w:pPr>
    </w:p>
    <w:p w14:paraId="12AAD348" w14:textId="77777777" w:rsidR="00E75D77" w:rsidRPr="00E75D77" w:rsidRDefault="00E75D77" w:rsidP="00E75D77">
      <w:pPr>
        <w:jc w:val="center"/>
        <w:rPr>
          <w:b/>
          <w:bCs/>
          <w:sz w:val="40"/>
          <w:szCs w:val="40"/>
        </w:rPr>
      </w:pPr>
    </w:p>
    <w:p w14:paraId="3E421662" w14:textId="77777777" w:rsidR="00E75D77" w:rsidRDefault="00E75D77" w:rsidP="00E75D77">
      <w:pPr>
        <w:jc w:val="center"/>
      </w:pPr>
    </w:p>
    <w:p w14:paraId="6748343A" w14:textId="0A7ED1C5" w:rsidR="003F27E4" w:rsidRPr="00E75D77" w:rsidRDefault="00E75D77" w:rsidP="00E75D77">
      <w:pPr>
        <w:jc w:val="center"/>
        <w:rPr>
          <w:sz w:val="28"/>
          <w:szCs w:val="28"/>
        </w:rPr>
      </w:pPr>
      <w:r w:rsidRPr="00E75D77">
        <w:rPr>
          <w:sz w:val="28"/>
          <w:szCs w:val="28"/>
        </w:rPr>
        <w:t>LEÇON 1 LE BUDGET LOCAL</w:t>
      </w:r>
    </w:p>
    <w:p w14:paraId="720088EB" w14:textId="19918E6B" w:rsidR="00E75D77" w:rsidRPr="00E75D77" w:rsidRDefault="00E75D77" w:rsidP="00E75D77">
      <w:pPr>
        <w:jc w:val="center"/>
        <w:rPr>
          <w:sz w:val="28"/>
          <w:szCs w:val="28"/>
        </w:rPr>
      </w:pPr>
    </w:p>
    <w:p w14:paraId="001159D8" w14:textId="77D54A0A" w:rsidR="00E75D77" w:rsidRPr="00E75D77" w:rsidRDefault="00E75D77" w:rsidP="00E75D77">
      <w:pPr>
        <w:jc w:val="center"/>
        <w:rPr>
          <w:sz w:val="28"/>
          <w:szCs w:val="28"/>
        </w:rPr>
      </w:pPr>
      <w:r w:rsidRPr="00E75D77">
        <w:rPr>
          <w:sz w:val="28"/>
          <w:szCs w:val="28"/>
        </w:rPr>
        <w:t>LEÇON 2 L’ÉQUILIBRE DU BUDGET LOCAL</w:t>
      </w:r>
    </w:p>
    <w:p w14:paraId="228641C6" w14:textId="139601F4" w:rsidR="00E75D77" w:rsidRPr="00E75D77" w:rsidRDefault="00E75D77" w:rsidP="00E75D77">
      <w:pPr>
        <w:jc w:val="center"/>
        <w:rPr>
          <w:sz w:val="28"/>
          <w:szCs w:val="28"/>
        </w:rPr>
      </w:pPr>
    </w:p>
    <w:p w14:paraId="7CD5A9E1" w14:textId="54E12EBE" w:rsidR="00E75D77" w:rsidRPr="00E75D77" w:rsidRDefault="00E75D77" w:rsidP="00E75D77">
      <w:pPr>
        <w:jc w:val="center"/>
        <w:rPr>
          <w:sz w:val="28"/>
          <w:szCs w:val="28"/>
        </w:rPr>
      </w:pPr>
      <w:r w:rsidRPr="00E75D77">
        <w:rPr>
          <w:sz w:val="28"/>
          <w:szCs w:val="28"/>
        </w:rPr>
        <w:t>LEÇON 3 LE CYCLE BUDGÉTAIRE LOCAL</w:t>
      </w:r>
    </w:p>
    <w:p w14:paraId="728E9485" w14:textId="62E498AB" w:rsidR="00E75D77" w:rsidRPr="00E75D77" w:rsidRDefault="00E75D77" w:rsidP="00E75D77">
      <w:pPr>
        <w:jc w:val="center"/>
        <w:rPr>
          <w:sz w:val="28"/>
          <w:szCs w:val="28"/>
        </w:rPr>
      </w:pPr>
    </w:p>
    <w:p w14:paraId="76C1B6C1" w14:textId="2B9FC118" w:rsidR="00E75D77" w:rsidRPr="00E75D77" w:rsidRDefault="00E75D77" w:rsidP="00E75D77">
      <w:pPr>
        <w:jc w:val="center"/>
        <w:rPr>
          <w:sz w:val="28"/>
          <w:szCs w:val="28"/>
        </w:rPr>
      </w:pPr>
      <w:r w:rsidRPr="00E75D77">
        <w:rPr>
          <w:sz w:val="28"/>
          <w:szCs w:val="28"/>
        </w:rPr>
        <w:t>LEÇON 4 LES PRINCIPES BUDGÉTAIRES LOCAUX</w:t>
      </w:r>
    </w:p>
    <w:p w14:paraId="2ABF7569" w14:textId="0E07FFC2" w:rsidR="00E75D77" w:rsidRPr="00E75D77" w:rsidRDefault="00E75D77" w:rsidP="00E75D77">
      <w:pPr>
        <w:jc w:val="center"/>
        <w:rPr>
          <w:sz w:val="28"/>
          <w:szCs w:val="28"/>
        </w:rPr>
      </w:pPr>
    </w:p>
    <w:p w14:paraId="63EB7B4F" w14:textId="26A71633" w:rsidR="00E75D77" w:rsidRPr="00E75D77" w:rsidRDefault="00E75D77" w:rsidP="00E75D77">
      <w:pPr>
        <w:jc w:val="center"/>
        <w:rPr>
          <w:sz w:val="28"/>
          <w:szCs w:val="28"/>
        </w:rPr>
      </w:pPr>
      <w:r w:rsidRPr="00E75D77">
        <w:rPr>
          <w:sz w:val="28"/>
          <w:szCs w:val="28"/>
        </w:rPr>
        <w:t xml:space="preserve">LEÇON </w:t>
      </w:r>
      <w:r w:rsidRPr="00E75D77">
        <w:rPr>
          <w:sz w:val="28"/>
          <w:szCs w:val="28"/>
        </w:rPr>
        <w:t>5 LES COMPTES DES COLLECTIVITÉS TERRITORIALES</w:t>
      </w:r>
    </w:p>
    <w:p w14:paraId="531556F9" w14:textId="74B66DEA" w:rsidR="00E75D77" w:rsidRPr="00E75D77" w:rsidRDefault="00E75D77" w:rsidP="00E75D77">
      <w:pPr>
        <w:jc w:val="center"/>
        <w:rPr>
          <w:sz w:val="28"/>
          <w:szCs w:val="28"/>
        </w:rPr>
      </w:pPr>
    </w:p>
    <w:p w14:paraId="15A39396" w14:textId="6CA95041" w:rsidR="00E75D77" w:rsidRPr="00E75D77" w:rsidRDefault="00E75D77" w:rsidP="00E75D77">
      <w:pPr>
        <w:jc w:val="center"/>
        <w:rPr>
          <w:sz w:val="28"/>
          <w:szCs w:val="28"/>
        </w:rPr>
      </w:pPr>
      <w:r w:rsidRPr="00E75D77">
        <w:rPr>
          <w:sz w:val="28"/>
          <w:szCs w:val="28"/>
        </w:rPr>
        <w:t xml:space="preserve">LEÇON </w:t>
      </w:r>
      <w:r w:rsidRPr="00E75D77">
        <w:rPr>
          <w:sz w:val="28"/>
          <w:szCs w:val="28"/>
        </w:rPr>
        <w:t>6 LES RÉFORMES BUDGÉTAIRES &amp; COMPTABLES</w:t>
      </w:r>
    </w:p>
    <w:p w14:paraId="1B921AC6" w14:textId="4F19DB85" w:rsidR="00E75D77" w:rsidRPr="00E75D77" w:rsidRDefault="00E75D77" w:rsidP="00E75D77">
      <w:pPr>
        <w:jc w:val="center"/>
        <w:rPr>
          <w:sz w:val="28"/>
          <w:szCs w:val="28"/>
        </w:rPr>
      </w:pPr>
    </w:p>
    <w:p w14:paraId="2E0762FF" w14:textId="490D52ED" w:rsidR="00E75D77" w:rsidRPr="00E75D77" w:rsidRDefault="00E75D77" w:rsidP="00E75D77">
      <w:pPr>
        <w:jc w:val="center"/>
        <w:rPr>
          <w:sz w:val="28"/>
          <w:szCs w:val="28"/>
        </w:rPr>
      </w:pPr>
      <w:r w:rsidRPr="00E75D77">
        <w:rPr>
          <w:sz w:val="28"/>
          <w:szCs w:val="28"/>
        </w:rPr>
        <w:t xml:space="preserve">LEÇON </w:t>
      </w:r>
      <w:r w:rsidRPr="00E75D77">
        <w:rPr>
          <w:sz w:val="28"/>
          <w:szCs w:val="28"/>
        </w:rPr>
        <w:t>7 LA RÉFORME DE LA TAXE PROFESSIONNELLE</w:t>
      </w:r>
    </w:p>
    <w:p w14:paraId="60BCBA24" w14:textId="433DF3D5" w:rsidR="00E75D77" w:rsidRPr="00E75D77" w:rsidRDefault="00E75D77" w:rsidP="00E75D77">
      <w:pPr>
        <w:jc w:val="center"/>
        <w:rPr>
          <w:sz w:val="28"/>
          <w:szCs w:val="28"/>
        </w:rPr>
      </w:pPr>
    </w:p>
    <w:p w14:paraId="3AC01CC7" w14:textId="700DBD67" w:rsidR="00E75D77" w:rsidRPr="00E75D77" w:rsidRDefault="00E75D77" w:rsidP="00E75D77">
      <w:pPr>
        <w:jc w:val="center"/>
        <w:rPr>
          <w:sz w:val="28"/>
          <w:szCs w:val="28"/>
        </w:rPr>
      </w:pPr>
      <w:r w:rsidRPr="00E75D77">
        <w:rPr>
          <w:sz w:val="28"/>
          <w:szCs w:val="28"/>
        </w:rPr>
        <w:t xml:space="preserve">LEÇON </w:t>
      </w:r>
      <w:r w:rsidRPr="00E75D77">
        <w:rPr>
          <w:sz w:val="28"/>
          <w:szCs w:val="28"/>
        </w:rPr>
        <w:t>8 LES RELATIONS ENTRE L’ÉTAT ET LES COLLECTIVITÉS TERRITORIALES</w:t>
      </w:r>
    </w:p>
    <w:p w14:paraId="2D04FAF4" w14:textId="331C3C55" w:rsidR="00E75D77" w:rsidRPr="00E75D77" w:rsidRDefault="00E75D77" w:rsidP="00E75D77">
      <w:pPr>
        <w:jc w:val="center"/>
        <w:rPr>
          <w:sz w:val="28"/>
          <w:szCs w:val="28"/>
        </w:rPr>
      </w:pPr>
    </w:p>
    <w:p w14:paraId="5D434C9D" w14:textId="6BDF6F45" w:rsidR="00E75D77" w:rsidRPr="00E75D77" w:rsidRDefault="00E75D77" w:rsidP="00E75D77">
      <w:pPr>
        <w:jc w:val="center"/>
        <w:rPr>
          <w:sz w:val="28"/>
          <w:szCs w:val="28"/>
        </w:rPr>
      </w:pPr>
      <w:r w:rsidRPr="00E75D77">
        <w:rPr>
          <w:sz w:val="28"/>
          <w:szCs w:val="28"/>
        </w:rPr>
        <w:t xml:space="preserve">LEÇON </w:t>
      </w:r>
      <w:r w:rsidRPr="00E75D77">
        <w:rPr>
          <w:sz w:val="28"/>
          <w:szCs w:val="28"/>
        </w:rPr>
        <w:t>9 LA CONTRACTUALISATION</w:t>
      </w:r>
    </w:p>
    <w:p w14:paraId="710613AC" w14:textId="112DA8D2" w:rsidR="00E75D77" w:rsidRPr="00E75D77" w:rsidRDefault="00E75D77" w:rsidP="00E75D77">
      <w:pPr>
        <w:jc w:val="center"/>
        <w:rPr>
          <w:sz w:val="28"/>
          <w:szCs w:val="28"/>
        </w:rPr>
      </w:pPr>
    </w:p>
    <w:p w14:paraId="1FB2332B" w14:textId="3E783711" w:rsidR="00E75D77" w:rsidRDefault="00E75D77" w:rsidP="00E75D77">
      <w:pPr>
        <w:jc w:val="center"/>
        <w:rPr>
          <w:sz w:val="28"/>
          <w:szCs w:val="28"/>
        </w:rPr>
      </w:pPr>
      <w:r w:rsidRPr="00E75D77">
        <w:rPr>
          <w:sz w:val="28"/>
          <w:szCs w:val="28"/>
        </w:rPr>
        <w:t xml:space="preserve">LEÇON </w:t>
      </w:r>
      <w:r w:rsidRPr="00E75D77">
        <w:rPr>
          <w:sz w:val="28"/>
          <w:szCs w:val="28"/>
        </w:rPr>
        <w:t>10 LES CONTRÔLES DES CHAMBRES RÉGIONALES DES COMPTES</w:t>
      </w:r>
    </w:p>
    <w:p w14:paraId="24E54CB6" w14:textId="0BBCAB2D" w:rsidR="00E75D77" w:rsidRDefault="00E75D77" w:rsidP="00E75D77">
      <w:pPr>
        <w:jc w:val="center"/>
        <w:rPr>
          <w:sz w:val="28"/>
          <w:szCs w:val="28"/>
        </w:rPr>
      </w:pPr>
    </w:p>
    <w:p w14:paraId="5FFF94A5" w14:textId="6AF659BA" w:rsidR="00E75D77" w:rsidRDefault="00E75D77" w:rsidP="00E75D77">
      <w:pPr>
        <w:jc w:val="center"/>
        <w:rPr>
          <w:sz w:val="28"/>
          <w:szCs w:val="28"/>
        </w:rPr>
      </w:pPr>
    </w:p>
    <w:p w14:paraId="07DD21F8" w14:textId="496CE210" w:rsidR="00E75D77" w:rsidRDefault="00E75D77" w:rsidP="00E75D77">
      <w:pPr>
        <w:jc w:val="center"/>
        <w:rPr>
          <w:sz w:val="28"/>
          <w:szCs w:val="28"/>
        </w:rPr>
      </w:pPr>
    </w:p>
    <w:p w14:paraId="1F1A12B5" w14:textId="464C6027" w:rsidR="00E75D77" w:rsidRDefault="00E75D77" w:rsidP="00E75D77">
      <w:pPr>
        <w:rPr>
          <w:sz w:val="28"/>
          <w:szCs w:val="28"/>
        </w:rPr>
      </w:pPr>
    </w:p>
    <w:p w14:paraId="7B118D0F" w14:textId="6B5D70EE" w:rsidR="00E75D77" w:rsidRDefault="00E75D77" w:rsidP="00E75D77">
      <w:pPr>
        <w:jc w:val="center"/>
        <w:rPr>
          <w:sz w:val="28"/>
          <w:szCs w:val="28"/>
        </w:rPr>
      </w:pPr>
    </w:p>
    <w:p w14:paraId="7AC25DA8" w14:textId="13BB307E" w:rsidR="00E75D77" w:rsidRDefault="00E75D77" w:rsidP="00E75D77">
      <w:pPr>
        <w:jc w:val="center"/>
        <w:rPr>
          <w:sz w:val="28"/>
          <w:szCs w:val="28"/>
        </w:rPr>
      </w:pPr>
    </w:p>
    <w:p w14:paraId="0F400EFE" w14:textId="278BE91C" w:rsidR="00E75D77" w:rsidRDefault="00E75D77" w:rsidP="00E75D77">
      <w:pPr>
        <w:jc w:val="center"/>
        <w:rPr>
          <w:sz w:val="28"/>
          <w:szCs w:val="28"/>
        </w:rPr>
      </w:pPr>
    </w:p>
    <w:p w14:paraId="7B62B5EA" w14:textId="77777777" w:rsidR="00E75D77" w:rsidRDefault="00E75D77" w:rsidP="00E75D77">
      <w:pPr>
        <w:jc w:val="center"/>
        <w:rPr>
          <w:sz w:val="28"/>
          <w:szCs w:val="28"/>
        </w:rPr>
      </w:pPr>
    </w:p>
    <w:p w14:paraId="4E878E54" w14:textId="4DB429FA" w:rsidR="00E75D77" w:rsidRPr="00E75D77" w:rsidRDefault="00E75D77" w:rsidP="00E75D77">
      <w:pPr>
        <w:jc w:val="center"/>
        <w:rPr>
          <w:b/>
          <w:bCs/>
          <w:sz w:val="56"/>
          <w:szCs w:val="56"/>
        </w:rPr>
      </w:pPr>
      <w:r w:rsidRPr="00E75D77">
        <w:rPr>
          <w:b/>
          <w:bCs/>
          <w:sz w:val="56"/>
          <w:szCs w:val="56"/>
        </w:rPr>
        <w:t>IPAG</w:t>
      </w:r>
    </w:p>
    <w:p w14:paraId="699B52F3" w14:textId="309E8DD6" w:rsidR="00E75D77" w:rsidRPr="00E75D77" w:rsidRDefault="00E75D77" w:rsidP="00E75D77">
      <w:pPr>
        <w:jc w:val="center"/>
        <w:rPr>
          <w:b/>
          <w:bCs/>
          <w:sz w:val="56"/>
          <w:szCs w:val="56"/>
        </w:rPr>
      </w:pPr>
      <w:r w:rsidRPr="00E75D77">
        <w:rPr>
          <w:b/>
          <w:bCs/>
          <w:sz w:val="56"/>
          <w:szCs w:val="56"/>
        </w:rPr>
        <w:t>2021</w:t>
      </w:r>
    </w:p>
    <w:sectPr w:rsidR="00E75D77" w:rsidRPr="00E75D77" w:rsidSect="00F664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77"/>
    <w:rsid w:val="003F27E4"/>
    <w:rsid w:val="00C47C27"/>
    <w:rsid w:val="00E75D77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D5CF57"/>
  <w15:chartTrackingRefBased/>
  <w15:docId w15:val="{768BE62C-B3AA-D445-BA48-86CFF9FD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1</cp:revision>
  <dcterms:created xsi:type="dcterms:W3CDTF">2021-02-09T21:30:00Z</dcterms:created>
  <dcterms:modified xsi:type="dcterms:W3CDTF">2021-02-09T21:41:00Z</dcterms:modified>
</cp:coreProperties>
</file>