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F211AF" w14:textId="4138E811" w:rsidR="00061C0D" w:rsidRDefault="00137EAA" w:rsidP="00137EAA">
      <w:pPr>
        <w:jc w:val="center"/>
        <w:rPr>
          <w:b/>
          <w:bCs/>
          <w:sz w:val="44"/>
          <w:szCs w:val="44"/>
        </w:rPr>
      </w:pPr>
      <w:r w:rsidRPr="00386743">
        <w:rPr>
          <w:b/>
          <w:bCs/>
          <w:sz w:val="44"/>
          <w:szCs w:val="44"/>
        </w:rPr>
        <w:t>LEÇON n°</w:t>
      </w:r>
      <w:r w:rsidR="00BF3D40">
        <w:rPr>
          <w:b/>
          <w:bCs/>
          <w:sz w:val="44"/>
          <w:szCs w:val="44"/>
        </w:rPr>
        <w:t>4 LES PRINCIPES BUDGÉTAIRES LOCAUX</w:t>
      </w:r>
    </w:p>
    <w:p w14:paraId="3F2B9E35" w14:textId="6B365CA2" w:rsidR="00BF3D40" w:rsidRDefault="00BF3D40" w:rsidP="00137EAA">
      <w:pPr>
        <w:jc w:val="center"/>
        <w:rPr>
          <w:b/>
          <w:bCs/>
          <w:sz w:val="44"/>
          <w:szCs w:val="44"/>
        </w:rPr>
      </w:pPr>
    </w:p>
    <w:p w14:paraId="012D35F1" w14:textId="771DAD9D" w:rsidR="00D85011" w:rsidRDefault="00D85011" w:rsidP="00D85011">
      <w:pPr>
        <w:rPr>
          <w:b/>
          <w:bCs/>
          <w:sz w:val="44"/>
          <w:szCs w:val="44"/>
        </w:rPr>
      </w:pPr>
      <w:r>
        <w:rPr>
          <w:b/>
          <w:bCs/>
          <w:sz w:val="44"/>
          <w:szCs w:val="44"/>
        </w:rPr>
        <w:t>Côté discipline : équilibre, annualité et spécialité</w:t>
      </w:r>
    </w:p>
    <w:p w14:paraId="489A4929" w14:textId="2391460E" w:rsidR="00D85011" w:rsidRDefault="00D85011" w:rsidP="00D85011">
      <w:pPr>
        <w:rPr>
          <w:b/>
          <w:bCs/>
          <w:sz w:val="44"/>
          <w:szCs w:val="44"/>
        </w:rPr>
      </w:pPr>
      <w:r>
        <w:rPr>
          <w:b/>
          <w:bCs/>
          <w:sz w:val="44"/>
          <w:szCs w:val="44"/>
        </w:rPr>
        <w:t>Côté transparence : unité, universalité et sincérité</w:t>
      </w:r>
    </w:p>
    <w:p w14:paraId="3D3412D8" w14:textId="77777777" w:rsidR="00B442E8" w:rsidRDefault="00B442E8" w:rsidP="00B442E8">
      <w:pPr>
        <w:jc w:val="both"/>
        <w:rPr>
          <w:sz w:val="32"/>
          <w:szCs w:val="32"/>
        </w:rPr>
      </w:pPr>
    </w:p>
    <w:p w14:paraId="5022C47A" w14:textId="18E5A693" w:rsidR="00B442E8" w:rsidRPr="00733358" w:rsidRDefault="00B442E8" w:rsidP="00B442E8">
      <w:pPr>
        <w:jc w:val="both"/>
        <w:rPr>
          <w:sz w:val="32"/>
          <w:szCs w:val="32"/>
        </w:rPr>
      </w:pPr>
      <w:r w:rsidRPr="00733358">
        <w:rPr>
          <w:sz w:val="32"/>
          <w:szCs w:val="32"/>
        </w:rPr>
        <w:t xml:space="preserve">Les principes </w:t>
      </w:r>
      <w:r>
        <w:rPr>
          <w:sz w:val="32"/>
          <w:szCs w:val="32"/>
        </w:rPr>
        <w:t>budgétaires sont au nombre de 6.</w:t>
      </w:r>
      <w:r w:rsidRPr="00733358">
        <w:rPr>
          <w:sz w:val="32"/>
          <w:szCs w:val="32"/>
        </w:rPr>
        <w:t xml:space="preserve"> 3 sont des principes de discipline et 3 sont des principes de transparence. Pour la discipline, ce sont </w:t>
      </w:r>
      <w:proofErr w:type="gramStart"/>
      <w:r w:rsidRPr="00733358">
        <w:rPr>
          <w:sz w:val="32"/>
          <w:szCs w:val="32"/>
        </w:rPr>
        <w:t>les principe</w:t>
      </w:r>
      <w:proofErr w:type="gramEnd"/>
      <w:r w:rsidRPr="00733358">
        <w:rPr>
          <w:sz w:val="32"/>
          <w:szCs w:val="32"/>
        </w:rPr>
        <w:t xml:space="preserve"> d’équilibre que nous avons déjà vu, le principe d’annualité et le principe de spécialité. Pour les principes de transparence, ce sont les principes d’unité, d’universalité et de sincérité. Mais le principe de sincérité, comme nous l’avons vu, est intégré au principe d’équilibre. </w:t>
      </w:r>
    </w:p>
    <w:p w14:paraId="60D86225" w14:textId="77777777" w:rsidR="00B442E8" w:rsidRPr="00733358" w:rsidRDefault="00B442E8" w:rsidP="00B442E8">
      <w:pPr>
        <w:jc w:val="both"/>
        <w:rPr>
          <w:sz w:val="32"/>
          <w:szCs w:val="32"/>
        </w:rPr>
      </w:pPr>
    </w:p>
    <w:p w14:paraId="683A1FDF" w14:textId="77777777" w:rsidR="00B442E8" w:rsidRPr="00733358" w:rsidRDefault="00B442E8" w:rsidP="00B442E8">
      <w:pPr>
        <w:jc w:val="both"/>
        <w:rPr>
          <w:sz w:val="32"/>
          <w:szCs w:val="32"/>
        </w:rPr>
      </w:pPr>
      <w:r w:rsidRPr="00733358">
        <w:rPr>
          <w:sz w:val="32"/>
          <w:szCs w:val="32"/>
        </w:rPr>
        <w:t>Si l’on classe les principes budgétaires par ordre décroissant d’importance, on trouve en tête l’équilibre puis l’unité qui est également un principe renforcé. Ensuite, les trois autres principes restants sont affaiblis. Le moins affaibli est le principe d’annualité qui conserve une dose importante de contrainte, puis nous trouvons l’universalité et enfin le principe de spécialité qui est fortement battu en brèche.</w:t>
      </w:r>
    </w:p>
    <w:p w14:paraId="17395829" w14:textId="77777777" w:rsidR="00D85011" w:rsidRDefault="00D85011" w:rsidP="00D85011">
      <w:pPr>
        <w:rPr>
          <w:b/>
          <w:bCs/>
          <w:sz w:val="44"/>
          <w:szCs w:val="44"/>
        </w:rPr>
      </w:pPr>
    </w:p>
    <w:p w14:paraId="0140D389" w14:textId="2EAA9DB1" w:rsidR="00BF3D40" w:rsidRDefault="00BF3D40" w:rsidP="00D85011">
      <w:pPr>
        <w:rPr>
          <w:b/>
          <w:bCs/>
          <w:sz w:val="44"/>
          <w:szCs w:val="44"/>
        </w:rPr>
      </w:pPr>
      <w:r>
        <w:rPr>
          <w:b/>
          <w:bCs/>
          <w:sz w:val="44"/>
          <w:szCs w:val="44"/>
        </w:rPr>
        <w:t>CHAPITRE 1 : LES PRINCIPES RENFORCÉS</w:t>
      </w:r>
    </w:p>
    <w:p w14:paraId="62706D2F" w14:textId="0E1994C5" w:rsidR="00BF3D40" w:rsidRDefault="00BF3D40" w:rsidP="00BF3D40">
      <w:pPr>
        <w:jc w:val="center"/>
        <w:rPr>
          <w:b/>
          <w:bCs/>
          <w:sz w:val="44"/>
          <w:szCs w:val="44"/>
        </w:rPr>
      </w:pPr>
    </w:p>
    <w:p w14:paraId="066D043D" w14:textId="77777777" w:rsidR="00BF3D40" w:rsidRDefault="00BF3D40" w:rsidP="00BF3D40">
      <w:pPr>
        <w:jc w:val="center"/>
        <w:rPr>
          <w:b/>
          <w:bCs/>
          <w:sz w:val="44"/>
          <w:szCs w:val="44"/>
        </w:rPr>
      </w:pPr>
    </w:p>
    <w:p w14:paraId="79CEE0B3" w14:textId="2C5E09CC" w:rsidR="000B3CDA" w:rsidRPr="00386743" w:rsidRDefault="00BF3D40" w:rsidP="00D85011">
      <w:pPr>
        <w:rPr>
          <w:b/>
          <w:bCs/>
          <w:sz w:val="44"/>
          <w:szCs w:val="44"/>
        </w:rPr>
      </w:pPr>
      <w:r>
        <w:rPr>
          <w:b/>
          <w:bCs/>
          <w:sz w:val="44"/>
          <w:szCs w:val="44"/>
        </w:rPr>
        <w:t xml:space="preserve">SECTION 1 </w:t>
      </w:r>
      <w:r w:rsidR="00137EAA" w:rsidRPr="00386743">
        <w:rPr>
          <w:b/>
          <w:bCs/>
          <w:sz w:val="44"/>
          <w:szCs w:val="44"/>
        </w:rPr>
        <w:t>L’ÉQUILIBRE DU BUDGET LOCAL</w:t>
      </w:r>
    </w:p>
    <w:p w14:paraId="16229437" w14:textId="479CCF15" w:rsidR="00137EAA" w:rsidRDefault="00137EAA" w:rsidP="00137EAA">
      <w:pPr>
        <w:jc w:val="center"/>
        <w:rPr>
          <w:sz w:val="32"/>
          <w:szCs w:val="32"/>
        </w:rPr>
      </w:pPr>
    </w:p>
    <w:p w14:paraId="65C12EF2" w14:textId="60463E6A" w:rsidR="00137EAA" w:rsidRDefault="00137EAA" w:rsidP="00137EAA">
      <w:pPr>
        <w:jc w:val="both"/>
        <w:rPr>
          <w:sz w:val="32"/>
          <w:szCs w:val="32"/>
        </w:rPr>
      </w:pPr>
    </w:p>
    <w:p w14:paraId="01D54054" w14:textId="690D9266" w:rsidR="00137EAA" w:rsidRDefault="00137EAA" w:rsidP="00137EAA">
      <w:pPr>
        <w:jc w:val="both"/>
        <w:rPr>
          <w:sz w:val="32"/>
          <w:szCs w:val="32"/>
        </w:rPr>
      </w:pPr>
      <w:r>
        <w:rPr>
          <w:sz w:val="32"/>
          <w:szCs w:val="32"/>
        </w:rPr>
        <w:t xml:space="preserve">A la différence de l’État qui n’est soumis à aucune contrainte d’équilibre, les CT sont </w:t>
      </w:r>
      <w:proofErr w:type="gramStart"/>
      <w:r>
        <w:rPr>
          <w:sz w:val="32"/>
          <w:szCs w:val="32"/>
        </w:rPr>
        <w:t>soumises</w:t>
      </w:r>
      <w:proofErr w:type="gramEnd"/>
      <w:r>
        <w:rPr>
          <w:sz w:val="32"/>
          <w:szCs w:val="32"/>
        </w:rPr>
        <w:t xml:space="preserve"> à un </w:t>
      </w:r>
      <w:r w:rsidRPr="00D255E0">
        <w:rPr>
          <w:sz w:val="32"/>
          <w:szCs w:val="32"/>
          <w:u w:val="single"/>
        </w:rPr>
        <w:t>équilibre réel</w:t>
      </w:r>
      <w:r>
        <w:rPr>
          <w:sz w:val="32"/>
          <w:szCs w:val="32"/>
        </w:rPr>
        <w:t xml:space="preserve"> qui leur a été imposé par la loi du 2 mars 1982. </w:t>
      </w:r>
    </w:p>
    <w:p w14:paraId="50C438C0" w14:textId="12C1FCB0" w:rsidR="00137EAA" w:rsidRDefault="00137EAA" w:rsidP="00137EAA">
      <w:pPr>
        <w:jc w:val="both"/>
        <w:rPr>
          <w:sz w:val="32"/>
          <w:szCs w:val="32"/>
        </w:rPr>
      </w:pPr>
    </w:p>
    <w:p w14:paraId="3707A4BC" w14:textId="693ADA22" w:rsidR="00137EAA" w:rsidRDefault="00137EAA" w:rsidP="00137EAA">
      <w:pPr>
        <w:jc w:val="both"/>
        <w:rPr>
          <w:sz w:val="32"/>
          <w:szCs w:val="32"/>
        </w:rPr>
      </w:pPr>
      <w:r>
        <w:rPr>
          <w:sz w:val="32"/>
          <w:szCs w:val="32"/>
        </w:rPr>
        <w:t xml:space="preserve">Pour l’État, l’équilibre consiste à déterminer l’équilibre des opérations budgétaires dans un tableau d’équilibre et l’équilibre des opérations de trésorerie dans un tableau de financement. Nous savons que le budget de l’État est en déficit depuis 1975 et que pour 2021, la Loi de Finances prévoit un déficit de 153 Mds d’euros après 223 Mds pour 2020. </w:t>
      </w:r>
    </w:p>
    <w:p w14:paraId="11CF3102" w14:textId="5497C75B" w:rsidR="00137EAA" w:rsidRDefault="00137EAA" w:rsidP="00137EAA">
      <w:pPr>
        <w:jc w:val="both"/>
        <w:rPr>
          <w:sz w:val="32"/>
          <w:szCs w:val="32"/>
        </w:rPr>
      </w:pPr>
    </w:p>
    <w:p w14:paraId="5DC7DFA6" w14:textId="52266F74" w:rsidR="00137EAA" w:rsidRDefault="00137EAA" w:rsidP="00137EAA">
      <w:pPr>
        <w:jc w:val="both"/>
        <w:rPr>
          <w:sz w:val="32"/>
          <w:szCs w:val="32"/>
        </w:rPr>
      </w:pPr>
      <w:r>
        <w:rPr>
          <w:sz w:val="32"/>
          <w:szCs w:val="32"/>
        </w:rPr>
        <w:t xml:space="preserve">Cette rigueur de l’équilibre se retrouve au niveau du budget de l’UE car il doit être équilibré en recettes et en dépenses. </w:t>
      </w:r>
    </w:p>
    <w:p w14:paraId="278EA04A" w14:textId="25A806FC" w:rsidR="00386743" w:rsidRDefault="00386743" w:rsidP="00137EAA">
      <w:pPr>
        <w:jc w:val="both"/>
        <w:rPr>
          <w:sz w:val="32"/>
          <w:szCs w:val="32"/>
        </w:rPr>
      </w:pPr>
    </w:p>
    <w:p w14:paraId="3A20ABB1" w14:textId="79669D00" w:rsidR="00386743" w:rsidRDefault="00386743" w:rsidP="00137EAA">
      <w:pPr>
        <w:jc w:val="both"/>
        <w:rPr>
          <w:sz w:val="32"/>
          <w:szCs w:val="32"/>
        </w:rPr>
      </w:pPr>
      <w:r>
        <w:rPr>
          <w:sz w:val="32"/>
          <w:szCs w:val="32"/>
        </w:rPr>
        <w:t xml:space="preserve">Pour étudier l’équilibre du budget local, nous verrons successivement deux </w:t>
      </w:r>
      <w:r w:rsidR="00D85011">
        <w:rPr>
          <w:sz w:val="32"/>
          <w:szCs w:val="32"/>
        </w:rPr>
        <w:t>sous-sections</w:t>
      </w:r>
      <w:r>
        <w:rPr>
          <w:sz w:val="32"/>
          <w:szCs w:val="32"/>
        </w:rPr>
        <w:t> :</w:t>
      </w:r>
    </w:p>
    <w:p w14:paraId="03E6C531" w14:textId="4727AD6F" w:rsidR="00386743" w:rsidRDefault="00386743" w:rsidP="00137EAA">
      <w:pPr>
        <w:jc w:val="both"/>
        <w:rPr>
          <w:sz w:val="32"/>
          <w:szCs w:val="32"/>
        </w:rPr>
      </w:pPr>
    </w:p>
    <w:p w14:paraId="4901CD37" w14:textId="77777777" w:rsidR="003C1C5E" w:rsidRDefault="003C1C5E" w:rsidP="00137EAA">
      <w:pPr>
        <w:jc w:val="both"/>
        <w:rPr>
          <w:b/>
          <w:bCs/>
          <w:sz w:val="40"/>
          <w:szCs w:val="40"/>
        </w:rPr>
      </w:pPr>
      <w:r>
        <w:rPr>
          <w:b/>
          <w:bCs/>
          <w:sz w:val="40"/>
          <w:szCs w:val="40"/>
        </w:rPr>
        <w:t>SOUS SECTION 1</w:t>
      </w:r>
      <w:r w:rsidR="00386743" w:rsidRPr="00E4346B">
        <w:rPr>
          <w:b/>
          <w:bCs/>
          <w:sz w:val="40"/>
          <w:szCs w:val="40"/>
        </w:rPr>
        <w:t xml:space="preserve"> 1 : </w:t>
      </w:r>
    </w:p>
    <w:p w14:paraId="583563D9" w14:textId="7B856F0A" w:rsidR="00386743" w:rsidRPr="00E4346B" w:rsidRDefault="00386743" w:rsidP="00137EAA">
      <w:pPr>
        <w:jc w:val="both"/>
        <w:rPr>
          <w:b/>
          <w:bCs/>
          <w:sz w:val="40"/>
          <w:szCs w:val="40"/>
        </w:rPr>
      </w:pPr>
      <w:r w:rsidRPr="00E4346B">
        <w:rPr>
          <w:b/>
          <w:bCs/>
          <w:sz w:val="40"/>
          <w:szCs w:val="40"/>
        </w:rPr>
        <w:t>L’ÉQUILIBRE DU BUDGET PRINCIPAL</w:t>
      </w:r>
    </w:p>
    <w:p w14:paraId="2D9D32A5" w14:textId="02ACB218" w:rsidR="00386743" w:rsidRPr="00E4346B" w:rsidRDefault="00386743" w:rsidP="00137EAA">
      <w:pPr>
        <w:jc w:val="both"/>
        <w:rPr>
          <w:b/>
          <w:bCs/>
          <w:sz w:val="40"/>
          <w:szCs w:val="40"/>
        </w:rPr>
      </w:pPr>
    </w:p>
    <w:p w14:paraId="456269FF" w14:textId="77777777" w:rsidR="003C1C5E" w:rsidRDefault="003C1C5E" w:rsidP="00137EAA">
      <w:pPr>
        <w:jc w:val="both"/>
        <w:rPr>
          <w:b/>
          <w:bCs/>
          <w:sz w:val="40"/>
          <w:szCs w:val="40"/>
        </w:rPr>
      </w:pPr>
      <w:r>
        <w:rPr>
          <w:b/>
          <w:bCs/>
          <w:sz w:val="40"/>
          <w:szCs w:val="40"/>
        </w:rPr>
        <w:t xml:space="preserve">SOUS SECTION </w:t>
      </w:r>
      <w:r w:rsidR="00386743" w:rsidRPr="00E4346B">
        <w:rPr>
          <w:b/>
          <w:bCs/>
          <w:sz w:val="40"/>
          <w:szCs w:val="40"/>
        </w:rPr>
        <w:t xml:space="preserve"> 2 : </w:t>
      </w:r>
    </w:p>
    <w:p w14:paraId="36390781" w14:textId="13A1E888" w:rsidR="00386743" w:rsidRDefault="00386743" w:rsidP="00137EAA">
      <w:pPr>
        <w:jc w:val="both"/>
        <w:rPr>
          <w:b/>
          <w:bCs/>
          <w:sz w:val="40"/>
          <w:szCs w:val="40"/>
        </w:rPr>
      </w:pPr>
      <w:r w:rsidRPr="00E4346B">
        <w:rPr>
          <w:b/>
          <w:bCs/>
          <w:sz w:val="40"/>
          <w:szCs w:val="40"/>
        </w:rPr>
        <w:t>L’ÉQUILIBRE DU BUDGET ANNEXE</w:t>
      </w:r>
    </w:p>
    <w:p w14:paraId="6395F980" w14:textId="77777777" w:rsidR="00E4346B" w:rsidRPr="00E4346B" w:rsidRDefault="00E4346B" w:rsidP="00137EAA">
      <w:pPr>
        <w:jc w:val="both"/>
        <w:rPr>
          <w:b/>
          <w:bCs/>
          <w:sz w:val="40"/>
          <w:szCs w:val="40"/>
        </w:rPr>
      </w:pPr>
    </w:p>
    <w:p w14:paraId="36768238" w14:textId="7B6E648C" w:rsidR="00061C0D" w:rsidRDefault="00061C0D" w:rsidP="00137EAA">
      <w:pPr>
        <w:jc w:val="both"/>
        <w:rPr>
          <w:sz w:val="32"/>
          <w:szCs w:val="32"/>
        </w:rPr>
      </w:pPr>
    </w:p>
    <w:p w14:paraId="551456A1" w14:textId="319D0F6B" w:rsidR="00061C0D" w:rsidRDefault="00061C0D" w:rsidP="00137EAA">
      <w:pPr>
        <w:jc w:val="both"/>
        <w:rPr>
          <w:sz w:val="32"/>
          <w:szCs w:val="32"/>
        </w:rPr>
      </w:pPr>
      <w:r>
        <w:rPr>
          <w:sz w:val="32"/>
          <w:szCs w:val="32"/>
        </w:rPr>
        <w:t xml:space="preserve">Le </w:t>
      </w:r>
      <w:r w:rsidRPr="00D255E0">
        <w:rPr>
          <w:sz w:val="32"/>
          <w:szCs w:val="32"/>
          <w:u w:val="single"/>
        </w:rPr>
        <w:t>budget principal</w:t>
      </w:r>
      <w:r>
        <w:rPr>
          <w:sz w:val="32"/>
          <w:szCs w:val="32"/>
        </w:rPr>
        <w:t xml:space="preserve"> peut être défini comme le budget de la collectivité elle-même. Par exemple le budget de la commune, d’un département ou d’une région ou d’un EPCI. Il s’agit du budget de la personne publique pour l’ensemble de ses recettes et de ses dépenses.</w:t>
      </w:r>
      <w:r w:rsidR="00A31348">
        <w:rPr>
          <w:sz w:val="32"/>
          <w:szCs w:val="32"/>
        </w:rPr>
        <w:t xml:space="preserve"> Le budget principal est retracé par le BP, modifié en cours d’année par les DM et le BS. Même s’il y a plusieurs documents, c’est le budget de la collectivité elle-même : le budget principal. </w:t>
      </w:r>
    </w:p>
    <w:p w14:paraId="15952802" w14:textId="162C8548" w:rsidR="00061C0D" w:rsidRDefault="00061C0D" w:rsidP="00137EAA">
      <w:pPr>
        <w:jc w:val="both"/>
        <w:rPr>
          <w:sz w:val="32"/>
          <w:szCs w:val="32"/>
        </w:rPr>
      </w:pPr>
    </w:p>
    <w:p w14:paraId="4501E99B" w14:textId="716542AD" w:rsidR="00061C0D" w:rsidRDefault="00061C0D" w:rsidP="00137EAA">
      <w:pPr>
        <w:jc w:val="both"/>
        <w:rPr>
          <w:sz w:val="32"/>
          <w:szCs w:val="32"/>
        </w:rPr>
      </w:pPr>
      <w:r>
        <w:rPr>
          <w:sz w:val="32"/>
          <w:szCs w:val="32"/>
        </w:rPr>
        <w:t xml:space="preserve">Le </w:t>
      </w:r>
      <w:r w:rsidRPr="00D255E0">
        <w:rPr>
          <w:sz w:val="32"/>
          <w:szCs w:val="32"/>
          <w:u w:val="single"/>
        </w:rPr>
        <w:t>budget annexe</w:t>
      </w:r>
      <w:r>
        <w:rPr>
          <w:sz w:val="32"/>
          <w:szCs w:val="32"/>
        </w:rPr>
        <w:t xml:space="preserve"> correspond à un service public non personnalisé</w:t>
      </w:r>
      <w:r w:rsidR="00A31348">
        <w:rPr>
          <w:sz w:val="32"/>
          <w:szCs w:val="32"/>
        </w:rPr>
        <w:t xml:space="preserve">. Ce budget correspond à un service particulier à qui on a attribué une autonomie financière qui s’exprime par le biais d’un BA. </w:t>
      </w:r>
    </w:p>
    <w:p w14:paraId="54BBD9A3" w14:textId="4599268B" w:rsidR="00A31348" w:rsidRDefault="00A31348" w:rsidP="00137EAA">
      <w:pPr>
        <w:jc w:val="both"/>
        <w:rPr>
          <w:sz w:val="32"/>
          <w:szCs w:val="32"/>
        </w:rPr>
      </w:pPr>
    </w:p>
    <w:p w14:paraId="1F6884A8" w14:textId="07B5D290" w:rsidR="00A31348" w:rsidRDefault="00A31348" w:rsidP="00137EAA">
      <w:pPr>
        <w:jc w:val="both"/>
        <w:rPr>
          <w:sz w:val="32"/>
          <w:szCs w:val="32"/>
        </w:rPr>
      </w:pPr>
    </w:p>
    <w:p w14:paraId="655B9442" w14:textId="05539FCA" w:rsidR="00A31348" w:rsidRDefault="00A31348" w:rsidP="00137EAA">
      <w:pPr>
        <w:jc w:val="both"/>
        <w:rPr>
          <w:sz w:val="32"/>
          <w:szCs w:val="32"/>
        </w:rPr>
      </w:pPr>
    </w:p>
    <w:p w14:paraId="7425CCDD" w14:textId="69313B3C" w:rsidR="00A31348" w:rsidRDefault="00A31348" w:rsidP="00137EAA">
      <w:pPr>
        <w:jc w:val="both"/>
        <w:rPr>
          <w:sz w:val="32"/>
          <w:szCs w:val="32"/>
        </w:rPr>
      </w:pPr>
    </w:p>
    <w:p w14:paraId="20BA5DDE" w14:textId="28AFC4CC" w:rsidR="00A31348" w:rsidRDefault="00A31348" w:rsidP="00137EAA">
      <w:pPr>
        <w:jc w:val="both"/>
        <w:rPr>
          <w:sz w:val="32"/>
          <w:szCs w:val="32"/>
        </w:rPr>
      </w:pPr>
    </w:p>
    <w:p w14:paraId="0F98A353" w14:textId="77777777" w:rsidR="003C1C5E" w:rsidRDefault="003C1C5E" w:rsidP="00137EAA">
      <w:pPr>
        <w:jc w:val="both"/>
        <w:rPr>
          <w:b/>
          <w:bCs/>
          <w:sz w:val="48"/>
          <w:szCs w:val="48"/>
        </w:rPr>
      </w:pPr>
      <w:r>
        <w:rPr>
          <w:b/>
          <w:bCs/>
          <w:sz w:val="48"/>
          <w:szCs w:val="48"/>
        </w:rPr>
        <w:t>SOUS SECTION</w:t>
      </w:r>
      <w:r w:rsidR="00A31348" w:rsidRPr="008C6636">
        <w:rPr>
          <w:b/>
          <w:bCs/>
          <w:sz w:val="48"/>
          <w:szCs w:val="48"/>
        </w:rPr>
        <w:t xml:space="preserve"> 1 : </w:t>
      </w:r>
    </w:p>
    <w:p w14:paraId="3F785B50" w14:textId="14800DA8" w:rsidR="00A31348" w:rsidRPr="008C6636" w:rsidRDefault="00A31348" w:rsidP="00137EAA">
      <w:pPr>
        <w:jc w:val="both"/>
        <w:rPr>
          <w:b/>
          <w:bCs/>
          <w:sz w:val="48"/>
          <w:szCs w:val="48"/>
        </w:rPr>
      </w:pPr>
      <w:r w:rsidRPr="008C6636">
        <w:rPr>
          <w:b/>
          <w:bCs/>
          <w:sz w:val="48"/>
          <w:szCs w:val="48"/>
        </w:rPr>
        <w:t xml:space="preserve">L’ÉQUILIBRE DU BUDGET PRINCIPAL </w:t>
      </w:r>
    </w:p>
    <w:p w14:paraId="6D7EF1C9" w14:textId="3A0EAD1F" w:rsidR="00A31348" w:rsidRDefault="00A31348" w:rsidP="00137EAA">
      <w:pPr>
        <w:jc w:val="both"/>
        <w:rPr>
          <w:sz w:val="32"/>
          <w:szCs w:val="32"/>
        </w:rPr>
      </w:pPr>
    </w:p>
    <w:p w14:paraId="7FAAA358" w14:textId="77777777" w:rsidR="002D4C13" w:rsidRDefault="002D4C13" w:rsidP="00137EAA">
      <w:pPr>
        <w:jc w:val="both"/>
        <w:rPr>
          <w:b/>
          <w:bCs/>
          <w:sz w:val="32"/>
          <w:szCs w:val="32"/>
          <w:u w:val="single"/>
        </w:rPr>
      </w:pPr>
    </w:p>
    <w:p w14:paraId="601456E6" w14:textId="23DF0997" w:rsidR="00A31348" w:rsidRPr="002D4C13" w:rsidRDefault="003C1C5E" w:rsidP="00137EAA">
      <w:pPr>
        <w:jc w:val="both"/>
        <w:rPr>
          <w:b/>
          <w:bCs/>
          <w:sz w:val="32"/>
          <w:szCs w:val="32"/>
          <w:u w:val="single"/>
        </w:rPr>
      </w:pPr>
      <w:r>
        <w:rPr>
          <w:b/>
          <w:bCs/>
          <w:sz w:val="32"/>
          <w:szCs w:val="32"/>
          <w:u w:val="single"/>
        </w:rPr>
        <w:t>A/</w:t>
      </w:r>
      <w:r w:rsidR="00A31348" w:rsidRPr="002D4C13">
        <w:rPr>
          <w:b/>
          <w:bCs/>
          <w:sz w:val="32"/>
          <w:szCs w:val="32"/>
          <w:u w:val="single"/>
        </w:rPr>
        <w:t xml:space="preserve"> La rigidité de l’équilibre réel du budget local </w:t>
      </w:r>
    </w:p>
    <w:p w14:paraId="5F1D6CF0" w14:textId="6762906C" w:rsidR="00A31348" w:rsidRDefault="000D3954" w:rsidP="00137EAA">
      <w:pPr>
        <w:jc w:val="both"/>
        <w:rPr>
          <w:sz w:val="32"/>
          <w:szCs w:val="32"/>
        </w:rPr>
      </w:pPr>
      <w:r w:rsidRPr="000D3954">
        <w:rPr>
          <w:sz w:val="32"/>
          <w:szCs w:val="32"/>
        </w:rPr>
        <w:t xml:space="preserve">Pourquoi l’équilibre réel ? </w:t>
      </w:r>
    </w:p>
    <w:p w14:paraId="4B4B68F5" w14:textId="529C8F37" w:rsidR="000D3954" w:rsidRDefault="000D3954" w:rsidP="00137EAA">
      <w:pPr>
        <w:jc w:val="both"/>
        <w:rPr>
          <w:sz w:val="32"/>
          <w:szCs w:val="32"/>
        </w:rPr>
      </w:pPr>
      <w:r>
        <w:rPr>
          <w:sz w:val="32"/>
          <w:szCs w:val="32"/>
        </w:rPr>
        <w:t xml:space="preserve">Tout simplement car on veut éviter un équilibre formel, un équilibre apparent, un équilibre artificiel qui ne correspondrait pas à la réalité. </w:t>
      </w:r>
    </w:p>
    <w:p w14:paraId="5B2F129C" w14:textId="77777777" w:rsidR="000D3954" w:rsidRPr="000D3954" w:rsidRDefault="000D3954" w:rsidP="00137EAA">
      <w:pPr>
        <w:jc w:val="both"/>
        <w:rPr>
          <w:sz w:val="32"/>
          <w:szCs w:val="32"/>
        </w:rPr>
      </w:pPr>
    </w:p>
    <w:p w14:paraId="21386D91" w14:textId="5F305560" w:rsidR="00A31348" w:rsidRPr="002D4C13" w:rsidRDefault="003C1C5E" w:rsidP="00137EAA">
      <w:pPr>
        <w:jc w:val="both"/>
        <w:rPr>
          <w:b/>
          <w:bCs/>
          <w:sz w:val="32"/>
          <w:szCs w:val="32"/>
        </w:rPr>
      </w:pPr>
      <w:r>
        <w:rPr>
          <w:b/>
          <w:bCs/>
          <w:sz w:val="32"/>
          <w:szCs w:val="32"/>
        </w:rPr>
        <w:t>§1</w:t>
      </w:r>
      <w:r w:rsidR="00A31348" w:rsidRPr="002D4C13">
        <w:rPr>
          <w:b/>
          <w:bCs/>
          <w:sz w:val="32"/>
          <w:szCs w:val="32"/>
        </w:rPr>
        <w:t xml:space="preserve"> La définition légale de l’équilibre réel</w:t>
      </w:r>
    </w:p>
    <w:p w14:paraId="137EF81C" w14:textId="14738712" w:rsidR="002D4C13" w:rsidRDefault="002D4C13" w:rsidP="00137EAA">
      <w:pPr>
        <w:jc w:val="both"/>
        <w:rPr>
          <w:sz w:val="32"/>
          <w:szCs w:val="32"/>
        </w:rPr>
      </w:pPr>
      <w:r>
        <w:rPr>
          <w:sz w:val="32"/>
          <w:szCs w:val="32"/>
        </w:rPr>
        <w:t>Elle découle de l’article L. 1612-4 CGCT</w:t>
      </w:r>
    </w:p>
    <w:p w14:paraId="2F1182B3" w14:textId="4DCFD99B" w:rsidR="00087DF9" w:rsidRDefault="00087DF9" w:rsidP="00137EAA">
      <w:pPr>
        <w:jc w:val="both"/>
        <w:rPr>
          <w:sz w:val="32"/>
          <w:szCs w:val="32"/>
        </w:rPr>
      </w:pPr>
    </w:p>
    <w:p w14:paraId="41478E71" w14:textId="1F51CF4B" w:rsidR="00087DF9" w:rsidRPr="00087DF9" w:rsidRDefault="00087DF9" w:rsidP="00087DF9">
      <w:pPr>
        <w:shd w:val="clear" w:color="auto" w:fill="FFFFFF"/>
        <w:spacing w:after="120"/>
        <w:outlineLvl w:val="1"/>
        <w:rPr>
          <w:rFonts w:ascii="Arial" w:hAnsi="Arial" w:cs="Arial"/>
          <w:b/>
          <w:bCs/>
          <w:i/>
          <w:iCs/>
          <w:color w:val="4A5E81"/>
          <w:sz w:val="21"/>
          <w:szCs w:val="21"/>
        </w:rPr>
      </w:pPr>
      <w:r w:rsidRPr="00087DF9">
        <w:rPr>
          <w:rFonts w:ascii="Arial" w:hAnsi="Arial" w:cs="Arial"/>
          <w:b/>
          <w:bCs/>
          <w:i/>
          <w:iCs/>
          <w:color w:val="4A5E81"/>
          <w:sz w:val="21"/>
          <w:szCs w:val="21"/>
        </w:rPr>
        <w:lastRenderedPageBreak/>
        <w:t>Article L1612-4</w:t>
      </w:r>
    </w:p>
    <w:p w14:paraId="71305871" w14:textId="77777777" w:rsidR="00087DF9" w:rsidRPr="00087DF9" w:rsidRDefault="00087DF9" w:rsidP="00087DF9">
      <w:pPr>
        <w:shd w:val="clear" w:color="auto" w:fill="FFFFFF"/>
        <w:jc w:val="both"/>
        <w:rPr>
          <w:rFonts w:ascii="Arial" w:hAnsi="Arial" w:cs="Arial"/>
          <w:i/>
          <w:iCs/>
          <w:color w:val="3C3C3C"/>
          <w:sz w:val="32"/>
          <w:szCs w:val="32"/>
        </w:rPr>
      </w:pPr>
      <w:r w:rsidRPr="00087DF9">
        <w:rPr>
          <w:rFonts w:ascii="Arial" w:hAnsi="Arial" w:cs="Arial"/>
          <w:i/>
          <w:iCs/>
          <w:color w:val="3C3C3C"/>
          <w:sz w:val="32"/>
          <w:szCs w:val="32"/>
        </w:rPr>
        <w:t xml:space="preserve">Le budget de la collectivité territoriale est en équilibre réel lorsque la section de fonctionnement et la section d'investissement sont </w:t>
      </w:r>
      <w:r w:rsidRPr="00087DF9">
        <w:rPr>
          <w:rFonts w:ascii="Arial" w:hAnsi="Arial" w:cs="Arial"/>
          <w:i/>
          <w:iCs/>
          <w:color w:val="3C3C3C"/>
          <w:sz w:val="32"/>
          <w:szCs w:val="32"/>
          <w:u w:val="single"/>
        </w:rPr>
        <w:t>respectivement votées en équilibre</w:t>
      </w:r>
      <w:r w:rsidRPr="00087DF9">
        <w:rPr>
          <w:rFonts w:ascii="Arial" w:hAnsi="Arial" w:cs="Arial"/>
          <w:i/>
          <w:iCs/>
          <w:color w:val="3C3C3C"/>
          <w:sz w:val="32"/>
          <w:szCs w:val="32"/>
        </w:rPr>
        <w:t xml:space="preserve">, les recettes et les dépenses ayant été </w:t>
      </w:r>
      <w:r w:rsidRPr="00087DF9">
        <w:rPr>
          <w:rFonts w:ascii="Arial" w:hAnsi="Arial" w:cs="Arial"/>
          <w:i/>
          <w:iCs/>
          <w:color w:val="3C3C3C"/>
          <w:sz w:val="32"/>
          <w:szCs w:val="32"/>
          <w:u w:val="single"/>
        </w:rPr>
        <w:t>évaluées de façon sincère</w:t>
      </w:r>
      <w:r w:rsidRPr="00087DF9">
        <w:rPr>
          <w:rFonts w:ascii="Arial" w:hAnsi="Arial" w:cs="Arial"/>
          <w:i/>
          <w:iCs/>
          <w:color w:val="3C3C3C"/>
          <w:sz w:val="32"/>
          <w:szCs w:val="32"/>
        </w:rPr>
        <w:t xml:space="preserve">, et lorsque le prélèvement sur les recettes de la section de fonctionnement au profit de la section d'investissement, ajouté aux recettes propres de cette section, à l'exclusion du produit des emprunts, et éventuellement aux dotations des comptes d'amortissements et de provisions, fournit des </w:t>
      </w:r>
      <w:r w:rsidRPr="00087DF9">
        <w:rPr>
          <w:rFonts w:ascii="Arial" w:hAnsi="Arial" w:cs="Arial"/>
          <w:i/>
          <w:iCs/>
          <w:color w:val="3C3C3C"/>
          <w:sz w:val="32"/>
          <w:szCs w:val="32"/>
          <w:u w:val="single"/>
        </w:rPr>
        <w:t>ressources suffisantes pour couvrir le remboursement en capital</w:t>
      </w:r>
      <w:r w:rsidRPr="00087DF9">
        <w:rPr>
          <w:rFonts w:ascii="Arial" w:hAnsi="Arial" w:cs="Arial"/>
          <w:i/>
          <w:iCs/>
          <w:color w:val="3C3C3C"/>
          <w:sz w:val="32"/>
          <w:szCs w:val="32"/>
        </w:rPr>
        <w:t xml:space="preserve"> des annuités d'emprunt à échoir au cours de l'exercice.</w:t>
      </w:r>
    </w:p>
    <w:p w14:paraId="4C307FDB" w14:textId="77777777" w:rsidR="002D4C13" w:rsidRDefault="002D4C13" w:rsidP="00137EAA">
      <w:pPr>
        <w:jc w:val="both"/>
        <w:rPr>
          <w:sz w:val="32"/>
          <w:szCs w:val="32"/>
        </w:rPr>
      </w:pPr>
    </w:p>
    <w:p w14:paraId="0283873F" w14:textId="771FD2B8" w:rsidR="00A31348" w:rsidRDefault="003C1C5E" w:rsidP="00137EAA">
      <w:pPr>
        <w:jc w:val="both"/>
        <w:rPr>
          <w:sz w:val="32"/>
          <w:szCs w:val="32"/>
        </w:rPr>
      </w:pPr>
      <w:r>
        <w:rPr>
          <w:sz w:val="32"/>
          <w:szCs w:val="32"/>
        </w:rPr>
        <w:t>a)</w:t>
      </w:r>
      <w:r w:rsidR="00A31348">
        <w:rPr>
          <w:sz w:val="32"/>
          <w:szCs w:val="32"/>
        </w:rPr>
        <w:t xml:space="preserve"> Équilibre des deux sections du budget</w:t>
      </w:r>
    </w:p>
    <w:p w14:paraId="4B855A85" w14:textId="6440A0E0" w:rsidR="005056E6" w:rsidRDefault="005056E6" w:rsidP="00137EAA">
      <w:pPr>
        <w:jc w:val="both"/>
        <w:rPr>
          <w:sz w:val="32"/>
          <w:szCs w:val="32"/>
        </w:rPr>
      </w:pPr>
      <w:r>
        <w:rPr>
          <w:sz w:val="32"/>
          <w:szCs w:val="32"/>
        </w:rPr>
        <w:t xml:space="preserve">Ce n’est pas un équilibre global mais un équilibre de chacune des deux sections. </w:t>
      </w:r>
    </w:p>
    <w:p w14:paraId="1E68A97D" w14:textId="4E4F43E3" w:rsidR="005056E6" w:rsidRDefault="005056E6" w:rsidP="00137EAA">
      <w:pPr>
        <w:jc w:val="both"/>
        <w:rPr>
          <w:sz w:val="32"/>
          <w:szCs w:val="32"/>
        </w:rPr>
      </w:pPr>
      <w:r>
        <w:rPr>
          <w:sz w:val="32"/>
          <w:szCs w:val="32"/>
        </w:rPr>
        <w:t xml:space="preserve">Il faut d’abord que les dépenses et les recettes soient dans la bonne section. Concrètement, ce sont les opérations d’ordre qui permettent d’équilibrer chaque section du budget local. L’opération d’ordre la plus importante qui permettra d’équilibrer le budget s’appelle </w:t>
      </w:r>
      <w:r w:rsidRPr="005056E6">
        <w:rPr>
          <w:sz w:val="32"/>
          <w:szCs w:val="32"/>
          <w:u w:val="single"/>
        </w:rPr>
        <w:t>le virement</w:t>
      </w:r>
      <w:r>
        <w:rPr>
          <w:sz w:val="32"/>
          <w:szCs w:val="32"/>
        </w:rPr>
        <w:t xml:space="preserve"> de la section de fonctionnement sur la section d’investissement. </w:t>
      </w:r>
    </w:p>
    <w:p w14:paraId="5BACBBD3" w14:textId="77777777" w:rsidR="00087DF9" w:rsidRDefault="00087DF9" w:rsidP="00137EAA">
      <w:pPr>
        <w:jc w:val="both"/>
        <w:rPr>
          <w:sz w:val="32"/>
          <w:szCs w:val="32"/>
        </w:rPr>
      </w:pPr>
    </w:p>
    <w:p w14:paraId="7D9F548A" w14:textId="330E59E5" w:rsidR="00A31348" w:rsidRDefault="003C1C5E" w:rsidP="00137EAA">
      <w:pPr>
        <w:jc w:val="both"/>
        <w:rPr>
          <w:sz w:val="32"/>
          <w:szCs w:val="32"/>
        </w:rPr>
      </w:pPr>
      <w:r>
        <w:rPr>
          <w:sz w:val="32"/>
          <w:szCs w:val="32"/>
        </w:rPr>
        <w:t>b)</w:t>
      </w:r>
      <w:r w:rsidR="00A31348">
        <w:rPr>
          <w:sz w:val="32"/>
          <w:szCs w:val="32"/>
        </w:rPr>
        <w:t xml:space="preserve"> Sincérité des inscriptions budgétaires</w:t>
      </w:r>
    </w:p>
    <w:p w14:paraId="708BC310" w14:textId="4BBB3B69" w:rsidR="005056E6" w:rsidRDefault="005056E6" w:rsidP="00137EAA">
      <w:pPr>
        <w:jc w:val="both"/>
        <w:rPr>
          <w:sz w:val="32"/>
          <w:szCs w:val="32"/>
        </w:rPr>
      </w:pPr>
      <w:r>
        <w:rPr>
          <w:sz w:val="32"/>
          <w:szCs w:val="32"/>
        </w:rPr>
        <w:t xml:space="preserve">C’est au stade de la prévision des recettes et des dépenses du budget. Il faut prévoir et évaluer avec précision le montant de chaque dépense et de chaque recette. On ne peut pas être exact et tout prévoir mais il faut essayer d’être au plus près de la réalité. La sincérité c’est une vertu morale consistant à ne pas tricher, ne pas mentir ne pas chercher à masquer la réalité. </w:t>
      </w:r>
    </w:p>
    <w:p w14:paraId="68E308CD" w14:textId="18CE7469" w:rsidR="00F432A6" w:rsidRDefault="00F432A6" w:rsidP="00137EAA">
      <w:pPr>
        <w:jc w:val="both"/>
        <w:rPr>
          <w:sz w:val="32"/>
          <w:szCs w:val="32"/>
        </w:rPr>
      </w:pPr>
      <w:r>
        <w:rPr>
          <w:sz w:val="32"/>
          <w:szCs w:val="32"/>
        </w:rPr>
        <w:t xml:space="preserve">- sincérité des dépenses : bien entendu ne pas oublier de dépense. Le budget doit prévoir toutes les dépenses SF + SI. Quand les dépenses sont inscrites, les chiffres doivent être réalistes. </w:t>
      </w:r>
      <w:r w:rsidRPr="00F432A6">
        <w:rPr>
          <w:sz w:val="32"/>
          <w:szCs w:val="32"/>
          <w:u w:val="single"/>
        </w:rPr>
        <w:t>Il ne faut pas minimiser</w:t>
      </w:r>
      <w:r>
        <w:rPr>
          <w:sz w:val="32"/>
          <w:szCs w:val="32"/>
        </w:rPr>
        <w:t xml:space="preserve"> les chiffres des dépenses. </w:t>
      </w:r>
    </w:p>
    <w:p w14:paraId="43549E43" w14:textId="65FB7BA4" w:rsidR="00F432A6" w:rsidRDefault="00F432A6" w:rsidP="00137EAA">
      <w:pPr>
        <w:jc w:val="both"/>
        <w:rPr>
          <w:sz w:val="32"/>
          <w:szCs w:val="32"/>
        </w:rPr>
      </w:pPr>
      <w:r>
        <w:rPr>
          <w:sz w:val="32"/>
          <w:szCs w:val="32"/>
        </w:rPr>
        <w:t xml:space="preserve">10 millions de dépenses de personnel. Si on inscrit 9 millions, cela signifie qu’il va manquer 1 million.  Mais du côté des dépenses, il y a un risque de tricher car il y a les dépenses obligatoires. </w:t>
      </w:r>
    </w:p>
    <w:p w14:paraId="7BC3367D" w14:textId="261F9DEE" w:rsidR="00F432A6" w:rsidRDefault="00F432A6" w:rsidP="00137EAA">
      <w:pPr>
        <w:jc w:val="both"/>
        <w:rPr>
          <w:sz w:val="32"/>
          <w:szCs w:val="32"/>
        </w:rPr>
      </w:pPr>
      <w:r>
        <w:rPr>
          <w:sz w:val="32"/>
          <w:szCs w:val="32"/>
        </w:rPr>
        <w:t xml:space="preserve">-sincérité des recettes : on a tendance à grossir artificiellement le montant de certaines recettes. Exemples : évaluation d’une subvention. Une subvention ne peut être inscrite que si elle a été notifiée. Seule une recette certaine peut être inscrite au budget et la sincérité s’apprécie au jour du vote du BP, de la DM ou du BS. Les produits d’emprunt. </w:t>
      </w:r>
      <w:r w:rsidR="0038190E">
        <w:rPr>
          <w:sz w:val="32"/>
          <w:szCs w:val="32"/>
        </w:rPr>
        <w:t xml:space="preserve">Seule l’offre de prêt envoyée par la banque fait foi. Par conséquent, il ne faut pas grossir artificiellement le montant des recettes du budget. </w:t>
      </w:r>
    </w:p>
    <w:p w14:paraId="196642B7" w14:textId="77777777" w:rsidR="00087DF9" w:rsidRDefault="00087DF9" w:rsidP="00137EAA">
      <w:pPr>
        <w:jc w:val="both"/>
        <w:rPr>
          <w:sz w:val="32"/>
          <w:szCs w:val="32"/>
        </w:rPr>
      </w:pPr>
    </w:p>
    <w:p w14:paraId="36A8BAA7" w14:textId="568E1E9D" w:rsidR="00A31348" w:rsidRDefault="003C1C5E" w:rsidP="00137EAA">
      <w:pPr>
        <w:jc w:val="both"/>
        <w:rPr>
          <w:sz w:val="32"/>
          <w:szCs w:val="32"/>
        </w:rPr>
      </w:pPr>
      <w:r>
        <w:rPr>
          <w:sz w:val="32"/>
          <w:szCs w:val="32"/>
        </w:rPr>
        <w:lastRenderedPageBreak/>
        <w:t>c)</w:t>
      </w:r>
      <w:r w:rsidR="00A31348">
        <w:rPr>
          <w:sz w:val="32"/>
          <w:szCs w:val="32"/>
        </w:rPr>
        <w:t xml:space="preserve"> Respect de la règle d’or</w:t>
      </w:r>
    </w:p>
    <w:p w14:paraId="13292CE8" w14:textId="0E326496" w:rsidR="0038190E" w:rsidRDefault="0038190E" w:rsidP="00137EAA">
      <w:pPr>
        <w:jc w:val="both"/>
        <w:rPr>
          <w:sz w:val="32"/>
          <w:szCs w:val="32"/>
        </w:rPr>
      </w:pPr>
      <w:r>
        <w:rPr>
          <w:sz w:val="32"/>
          <w:szCs w:val="32"/>
        </w:rPr>
        <w:t>Qu’est-ce que la règle d’or ? ?</w:t>
      </w:r>
    </w:p>
    <w:p w14:paraId="3E4984F7" w14:textId="4E2266EA" w:rsidR="0038190E" w:rsidRDefault="0038190E" w:rsidP="00137EAA">
      <w:pPr>
        <w:jc w:val="both"/>
        <w:rPr>
          <w:sz w:val="32"/>
          <w:szCs w:val="32"/>
        </w:rPr>
      </w:pPr>
      <w:r>
        <w:rPr>
          <w:sz w:val="32"/>
          <w:szCs w:val="32"/>
        </w:rPr>
        <w:t xml:space="preserve">C’est finalement le respect de trois choses auxquelles sont soumises les CT. </w:t>
      </w:r>
    </w:p>
    <w:p w14:paraId="18D2F9E6" w14:textId="091AA1BB" w:rsidR="0038190E" w:rsidRPr="003C1C5E" w:rsidRDefault="003C1C5E" w:rsidP="003C1C5E">
      <w:pPr>
        <w:ind w:left="360"/>
        <w:jc w:val="both"/>
        <w:rPr>
          <w:sz w:val="32"/>
          <w:szCs w:val="32"/>
        </w:rPr>
      </w:pPr>
      <w:r>
        <w:rPr>
          <w:sz w:val="32"/>
          <w:szCs w:val="32"/>
        </w:rPr>
        <w:t xml:space="preserve">1) </w:t>
      </w:r>
      <w:r w:rsidR="0038190E" w:rsidRPr="003C1C5E">
        <w:rPr>
          <w:sz w:val="32"/>
          <w:szCs w:val="32"/>
        </w:rPr>
        <w:t xml:space="preserve">Une CT peut emprunter à condition que 100% des produits d’emprunts servent à investir. </w:t>
      </w:r>
    </w:p>
    <w:p w14:paraId="58965245" w14:textId="5DBB355C" w:rsidR="0038190E" w:rsidRPr="003C1C5E" w:rsidRDefault="003C1C5E" w:rsidP="003C1C5E">
      <w:pPr>
        <w:ind w:left="360"/>
        <w:jc w:val="both"/>
        <w:rPr>
          <w:sz w:val="32"/>
          <w:szCs w:val="32"/>
        </w:rPr>
      </w:pPr>
      <w:r>
        <w:rPr>
          <w:sz w:val="32"/>
          <w:szCs w:val="32"/>
        </w:rPr>
        <w:t xml:space="preserve">2) </w:t>
      </w:r>
      <w:r w:rsidR="0038190E" w:rsidRPr="003C1C5E">
        <w:rPr>
          <w:sz w:val="32"/>
          <w:szCs w:val="32"/>
        </w:rPr>
        <w:t xml:space="preserve">il est donc interdit d’utiliser ces produits pour rembourser le capital </w:t>
      </w:r>
    </w:p>
    <w:p w14:paraId="1A496418" w14:textId="71FAEDA0" w:rsidR="0038190E" w:rsidRPr="003C1C5E" w:rsidRDefault="003C1C5E" w:rsidP="003C1C5E">
      <w:pPr>
        <w:ind w:left="360"/>
        <w:jc w:val="both"/>
        <w:rPr>
          <w:sz w:val="32"/>
          <w:szCs w:val="32"/>
        </w:rPr>
      </w:pPr>
      <w:r>
        <w:rPr>
          <w:sz w:val="32"/>
          <w:szCs w:val="32"/>
        </w:rPr>
        <w:t xml:space="preserve">3) </w:t>
      </w:r>
      <w:r w:rsidR="0038190E" w:rsidRPr="003C1C5E">
        <w:rPr>
          <w:sz w:val="32"/>
          <w:szCs w:val="32"/>
        </w:rPr>
        <w:t xml:space="preserve">et pour rembourser le capital, il faut disposer de ressources suffisantes dans la section d’investissement : ressources propres de la SI. </w:t>
      </w:r>
    </w:p>
    <w:p w14:paraId="395D0C69" w14:textId="663AB013" w:rsidR="00A31348" w:rsidRDefault="00A31348" w:rsidP="00137EAA">
      <w:pPr>
        <w:jc w:val="both"/>
        <w:rPr>
          <w:sz w:val="32"/>
          <w:szCs w:val="32"/>
        </w:rPr>
      </w:pPr>
    </w:p>
    <w:p w14:paraId="7481C3B5" w14:textId="77777777" w:rsidR="002D4C13" w:rsidRDefault="002D4C13" w:rsidP="00137EAA">
      <w:pPr>
        <w:jc w:val="both"/>
        <w:rPr>
          <w:sz w:val="32"/>
          <w:szCs w:val="32"/>
        </w:rPr>
      </w:pPr>
    </w:p>
    <w:p w14:paraId="351C60AA" w14:textId="3CAF316A" w:rsidR="00C4307F" w:rsidRPr="002D4C13" w:rsidRDefault="003C1C5E" w:rsidP="00137EAA">
      <w:pPr>
        <w:jc w:val="both"/>
        <w:rPr>
          <w:b/>
          <w:bCs/>
          <w:sz w:val="32"/>
          <w:szCs w:val="32"/>
        </w:rPr>
      </w:pPr>
      <w:r>
        <w:rPr>
          <w:b/>
          <w:bCs/>
          <w:sz w:val="32"/>
          <w:szCs w:val="32"/>
        </w:rPr>
        <w:t>§2</w:t>
      </w:r>
      <w:r w:rsidR="00A31348" w:rsidRPr="002D4C13">
        <w:rPr>
          <w:b/>
          <w:bCs/>
          <w:sz w:val="32"/>
          <w:szCs w:val="32"/>
        </w:rPr>
        <w:t>La réalisation de l’équilibre</w:t>
      </w:r>
    </w:p>
    <w:p w14:paraId="0B367EB0" w14:textId="77777777" w:rsidR="0038190E" w:rsidRDefault="0038190E" w:rsidP="00137EAA">
      <w:pPr>
        <w:jc w:val="both"/>
        <w:rPr>
          <w:sz w:val="32"/>
          <w:szCs w:val="32"/>
        </w:rPr>
      </w:pPr>
      <w:r>
        <w:rPr>
          <w:sz w:val="32"/>
          <w:szCs w:val="32"/>
        </w:rPr>
        <w:t xml:space="preserve">Elle se fait au cours de la phase technique mais surtout au cours de la phase politique de la procédure. </w:t>
      </w:r>
    </w:p>
    <w:p w14:paraId="4E4BDC10" w14:textId="77777777" w:rsidR="0038190E" w:rsidRDefault="0038190E" w:rsidP="00137EAA">
      <w:pPr>
        <w:jc w:val="both"/>
        <w:rPr>
          <w:sz w:val="32"/>
          <w:szCs w:val="32"/>
        </w:rPr>
      </w:pPr>
    </w:p>
    <w:p w14:paraId="14C78C58" w14:textId="75340E45" w:rsidR="00A31348" w:rsidRDefault="007B4507" w:rsidP="00137EAA">
      <w:pPr>
        <w:jc w:val="both"/>
        <w:rPr>
          <w:sz w:val="32"/>
          <w:szCs w:val="32"/>
        </w:rPr>
      </w:pPr>
      <w:r>
        <w:rPr>
          <w:sz w:val="32"/>
          <w:szCs w:val="32"/>
        </w:rPr>
        <w:t>a)</w:t>
      </w:r>
      <w:r w:rsidR="00A31348">
        <w:rPr>
          <w:sz w:val="32"/>
          <w:szCs w:val="32"/>
        </w:rPr>
        <w:t xml:space="preserve"> </w:t>
      </w:r>
      <w:r w:rsidR="00A31348" w:rsidRPr="007B4507">
        <w:rPr>
          <w:sz w:val="32"/>
          <w:szCs w:val="32"/>
          <w:u w:val="single"/>
        </w:rPr>
        <w:t>équilibre global des dépenses et des recettes</w:t>
      </w:r>
      <w:r w:rsidR="00BC3F80">
        <w:rPr>
          <w:sz w:val="32"/>
          <w:szCs w:val="32"/>
        </w:rPr>
        <w:t> : on prend toutes les dépenses, on prend toutes les recettes et on réalise un équilibre d’ensemble : D = R sans tenir compte des deux sections.</w:t>
      </w:r>
    </w:p>
    <w:p w14:paraId="06A340B2" w14:textId="44917EA8" w:rsidR="00A31348" w:rsidRDefault="00A31348" w:rsidP="00137EAA">
      <w:pPr>
        <w:jc w:val="both"/>
        <w:rPr>
          <w:sz w:val="32"/>
          <w:szCs w:val="32"/>
        </w:rPr>
      </w:pPr>
      <w:r>
        <w:rPr>
          <w:sz w:val="32"/>
          <w:szCs w:val="32"/>
        </w:rPr>
        <w:t>Choix stratégique n°1</w:t>
      </w:r>
      <w:r w:rsidR="00BC3F80">
        <w:rPr>
          <w:sz w:val="32"/>
          <w:szCs w:val="32"/>
        </w:rPr>
        <w:t> : choix des investissements et choix de l’emprunt</w:t>
      </w:r>
    </w:p>
    <w:p w14:paraId="57959F33" w14:textId="77777777" w:rsidR="00087DF9" w:rsidRDefault="00087DF9" w:rsidP="00137EAA">
      <w:pPr>
        <w:jc w:val="both"/>
        <w:rPr>
          <w:sz w:val="32"/>
          <w:szCs w:val="32"/>
        </w:rPr>
      </w:pPr>
    </w:p>
    <w:p w14:paraId="7CE43027" w14:textId="4FB0C1D0" w:rsidR="00C6385D" w:rsidRDefault="007B4507" w:rsidP="00C6385D">
      <w:pPr>
        <w:shd w:val="clear" w:color="auto" w:fill="FFFF00"/>
        <w:jc w:val="both"/>
        <w:rPr>
          <w:sz w:val="32"/>
          <w:szCs w:val="32"/>
        </w:rPr>
      </w:pPr>
      <w:r>
        <w:rPr>
          <w:sz w:val="32"/>
          <w:szCs w:val="32"/>
        </w:rPr>
        <w:t>b</w:t>
      </w:r>
      <w:r w:rsidR="003C1C5E">
        <w:rPr>
          <w:sz w:val="32"/>
          <w:szCs w:val="32"/>
        </w:rPr>
        <w:t>)</w:t>
      </w:r>
      <w:r w:rsidR="00A31348">
        <w:rPr>
          <w:sz w:val="32"/>
          <w:szCs w:val="32"/>
        </w:rPr>
        <w:t xml:space="preserve"> ventilation des dépenses et des recettes dans la bonne section</w:t>
      </w:r>
      <w:r w:rsidR="00C6385D">
        <w:rPr>
          <w:sz w:val="32"/>
          <w:szCs w:val="32"/>
        </w:rPr>
        <w:t> : SCHÉMA</w:t>
      </w:r>
    </w:p>
    <w:p w14:paraId="7377291A" w14:textId="6CFB3682" w:rsidR="00087DF9" w:rsidRDefault="00BC3F80" w:rsidP="00137EAA">
      <w:pPr>
        <w:jc w:val="both"/>
        <w:rPr>
          <w:sz w:val="32"/>
          <w:szCs w:val="32"/>
        </w:rPr>
      </w:pPr>
      <w:r>
        <w:rPr>
          <w:sz w:val="32"/>
          <w:szCs w:val="32"/>
        </w:rPr>
        <w:t>La SF est en excédent</w:t>
      </w:r>
    </w:p>
    <w:p w14:paraId="7C6711A2" w14:textId="10D24D1C" w:rsidR="00BC3F80" w:rsidRDefault="00BC3F80" w:rsidP="00137EAA">
      <w:pPr>
        <w:jc w:val="both"/>
        <w:rPr>
          <w:sz w:val="32"/>
          <w:szCs w:val="32"/>
        </w:rPr>
      </w:pPr>
      <w:r>
        <w:rPr>
          <w:sz w:val="32"/>
          <w:szCs w:val="32"/>
        </w:rPr>
        <w:t>La SI est en déficit</w:t>
      </w:r>
    </w:p>
    <w:p w14:paraId="6EE4D7AD" w14:textId="77777777" w:rsidR="00BC3F80" w:rsidRDefault="00BC3F80" w:rsidP="00137EAA">
      <w:pPr>
        <w:jc w:val="both"/>
        <w:rPr>
          <w:sz w:val="32"/>
          <w:szCs w:val="32"/>
        </w:rPr>
      </w:pPr>
    </w:p>
    <w:p w14:paraId="52D5009A" w14:textId="1316AFD7" w:rsidR="00A31348" w:rsidRDefault="007B4507" w:rsidP="00137EAA">
      <w:pPr>
        <w:jc w:val="both"/>
        <w:rPr>
          <w:sz w:val="32"/>
          <w:szCs w:val="32"/>
        </w:rPr>
      </w:pPr>
      <w:r>
        <w:rPr>
          <w:sz w:val="32"/>
          <w:szCs w:val="32"/>
        </w:rPr>
        <w:t>c</w:t>
      </w:r>
      <w:r w:rsidR="003C1C5E">
        <w:rPr>
          <w:sz w:val="32"/>
          <w:szCs w:val="32"/>
        </w:rPr>
        <w:t>)</w:t>
      </w:r>
      <w:r w:rsidR="00A31348">
        <w:rPr>
          <w:sz w:val="32"/>
          <w:szCs w:val="32"/>
        </w:rPr>
        <w:t xml:space="preserve"> </w:t>
      </w:r>
      <w:r w:rsidR="00A31348" w:rsidRPr="007B4507">
        <w:rPr>
          <w:sz w:val="32"/>
          <w:szCs w:val="32"/>
          <w:u w:val="single"/>
        </w:rPr>
        <w:t>équilibre de la section d’investissement</w:t>
      </w:r>
    </w:p>
    <w:p w14:paraId="2C2D7374" w14:textId="0C87FF3A" w:rsidR="00BC3F80" w:rsidRDefault="00BC3F80" w:rsidP="00137EAA">
      <w:pPr>
        <w:jc w:val="both"/>
        <w:rPr>
          <w:sz w:val="32"/>
          <w:szCs w:val="32"/>
        </w:rPr>
      </w:pPr>
      <w:r>
        <w:rPr>
          <w:sz w:val="32"/>
          <w:szCs w:val="32"/>
        </w:rPr>
        <w:t>On remplace le besoin de financement par une écriture d’ordre qui est une recette intitulée virement de la section de F sur la SI</w:t>
      </w:r>
    </w:p>
    <w:p w14:paraId="2A20FF3B" w14:textId="77777777" w:rsidR="00087DF9" w:rsidRDefault="00087DF9" w:rsidP="00137EAA">
      <w:pPr>
        <w:jc w:val="both"/>
        <w:rPr>
          <w:sz w:val="32"/>
          <w:szCs w:val="32"/>
        </w:rPr>
      </w:pPr>
    </w:p>
    <w:p w14:paraId="3075E197" w14:textId="760AA140" w:rsidR="00A31348" w:rsidRDefault="007B4507" w:rsidP="00C6385D">
      <w:pPr>
        <w:shd w:val="clear" w:color="auto" w:fill="FFFF00"/>
        <w:jc w:val="both"/>
        <w:rPr>
          <w:sz w:val="32"/>
          <w:szCs w:val="32"/>
        </w:rPr>
      </w:pPr>
      <w:r>
        <w:rPr>
          <w:sz w:val="32"/>
          <w:szCs w:val="32"/>
        </w:rPr>
        <w:t>d</w:t>
      </w:r>
      <w:r w:rsidR="003C1C5E">
        <w:rPr>
          <w:sz w:val="32"/>
          <w:szCs w:val="32"/>
        </w:rPr>
        <w:t xml:space="preserve">) </w:t>
      </w:r>
      <w:r w:rsidR="00A31348">
        <w:rPr>
          <w:sz w:val="32"/>
          <w:szCs w:val="32"/>
        </w:rPr>
        <w:t xml:space="preserve"> </w:t>
      </w:r>
      <w:r w:rsidR="00A31348" w:rsidRPr="007B4507">
        <w:rPr>
          <w:sz w:val="32"/>
          <w:szCs w:val="32"/>
          <w:u w:val="single"/>
        </w:rPr>
        <w:t>équilibre de la section de fonctionnement</w:t>
      </w:r>
    </w:p>
    <w:p w14:paraId="003D2B39" w14:textId="1F1ABBFF" w:rsidR="002D4C13" w:rsidRDefault="002D4C13" w:rsidP="00C6385D">
      <w:pPr>
        <w:shd w:val="clear" w:color="auto" w:fill="FFFF00"/>
        <w:jc w:val="both"/>
        <w:rPr>
          <w:sz w:val="32"/>
          <w:szCs w:val="32"/>
        </w:rPr>
      </w:pPr>
      <w:r>
        <w:rPr>
          <w:sz w:val="32"/>
          <w:szCs w:val="32"/>
        </w:rPr>
        <w:t>Choix stratégique n°2</w:t>
      </w:r>
      <w:r w:rsidR="00BC3F80">
        <w:rPr>
          <w:sz w:val="32"/>
          <w:szCs w:val="32"/>
        </w:rPr>
        <w:t xml:space="preserve"> : fixation des taux des impôts directs locaux. </w:t>
      </w:r>
    </w:p>
    <w:p w14:paraId="4A8C77AB" w14:textId="3B9077CE" w:rsidR="00A31348" w:rsidRDefault="00BC3F80" w:rsidP="00137EAA">
      <w:pPr>
        <w:jc w:val="both"/>
        <w:rPr>
          <w:sz w:val="32"/>
          <w:szCs w:val="32"/>
        </w:rPr>
      </w:pPr>
      <w:r>
        <w:rPr>
          <w:sz w:val="32"/>
          <w:szCs w:val="32"/>
        </w:rPr>
        <w:t xml:space="preserve"> Le bouclage du budget se fera grâce à ce virement</w:t>
      </w:r>
    </w:p>
    <w:p w14:paraId="3050EE48" w14:textId="6ACF0FEB" w:rsidR="00BC3F80" w:rsidRDefault="00BC3F80" w:rsidP="00137EAA">
      <w:pPr>
        <w:jc w:val="both"/>
        <w:rPr>
          <w:sz w:val="32"/>
          <w:szCs w:val="32"/>
        </w:rPr>
      </w:pPr>
      <w:r>
        <w:rPr>
          <w:sz w:val="32"/>
          <w:szCs w:val="32"/>
        </w:rPr>
        <w:t>La dépense de la SF sera égale à la recette de la SI</w:t>
      </w:r>
    </w:p>
    <w:p w14:paraId="2F8B9A19" w14:textId="77777777" w:rsidR="002D4C13" w:rsidRDefault="002D4C13" w:rsidP="00137EAA">
      <w:pPr>
        <w:jc w:val="both"/>
        <w:rPr>
          <w:sz w:val="32"/>
          <w:szCs w:val="32"/>
        </w:rPr>
      </w:pPr>
    </w:p>
    <w:p w14:paraId="2BAC1C40" w14:textId="4565F8DE" w:rsidR="00A31348" w:rsidRDefault="003C1C5E" w:rsidP="00137EAA">
      <w:pPr>
        <w:jc w:val="both"/>
        <w:rPr>
          <w:b/>
          <w:bCs/>
          <w:sz w:val="32"/>
          <w:szCs w:val="32"/>
          <w:u w:val="single"/>
        </w:rPr>
      </w:pPr>
      <w:r>
        <w:rPr>
          <w:b/>
          <w:bCs/>
          <w:sz w:val="32"/>
          <w:szCs w:val="32"/>
          <w:u w:val="single"/>
        </w:rPr>
        <w:t>B/</w:t>
      </w:r>
      <w:r w:rsidR="00A31348" w:rsidRPr="002D4C13">
        <w:rPr>
          <w:b/>
          <w:bCs/>
          <w:sz w:val="32"/>
          <w:szCs w:val="32"/>
          <w:u w:val="single"/>
        </w:rPr>
        <w:t xml:space="preserve"> Les exceptions à l’équilibre</w:t>
      </w:r>
    </w:p>
    <w:p w14:paraId="21F6F0F9" w14:textId="77777777" w:rsidR="00C4307F" w:rsidRPr="002D4C13" w:rsidRDefault="00C4307F" w:rsidP="00137EAA">
      <w:pPr>
        <w:jc w:val="both"/>
        <w:rPr>
          <w:b/>
          <w:bCs/>
          <w:sz w:val="32"/>
          <w:szCs w:val="32"/>
          <w:u w:val="single"/>
        </w:rPr>
      </w:pPr>
    </w:p>
    <w:p w14:paraId="5E650D65" w14:textId="65BFB2C2" w:rsidR="002D4C13" w:rsidRDefault="002D4C13" w:rsidP="00137EAA">
      <w:pPr>
        <w:jc w:val="both"/>
        <w:rPr>
          <w:sz w:val="32"/>
          <w:szCs w:val="32"/>
        </w:rPr>
      </w:pPr>
    </w:p>
    <w:p w14:paraId="063998DE" w14:textId="017942E7" w:rsidR="002D4C13" w:rsidRPr="002D4C13" w:rsidRDefault="003C1C5E" w:rsidP="00137EAA">
      <w:pPr>
        <w:jc w:val="both"/>
        <w:rPr>
          <w:b/>
          <w:bCs/>
          <w:sz w:val="32"/>
          <w:szCs w:val="32"/>
        </w:rPr>
      </w:pPr>
      <w:r>
        <w:rPr>
          <w:b/>
          <w:bCs/>
          <w:sz w:val="32"/>
          <w:szCs w:val="32"/>
        </w:rPr>
        <w:t>§1</w:t>
      </w:r>
      <w:r w:rsidR="002D4C13" w:rsidRPr="002D4C13">
        <w:rPr>
          <w:b/>
          <w:bCs/>
          <w:sz w:val="32"/>
          <w:szCs w:val="32"/>
        </w:rPr>
        <w:t xml:space="preserve"> Pour le budget prévisionnel</w:t>
      </w:r>
      <w:r w:rsidR="001E7060">
        <w:rPr>
          <w:b/>
          <w:bCs/>
          <w:sz w:val="32"/>
          <w:szCs w:val="32"/>
        </w:rPr>
        <w:t xml:space="preserve"> (BP + DM + BS)</w:t>
      </w:r>
    </w:p>
    <w:p w14:paraId="62003C36" w14:textId="77777777" w:rsidR="001E7060" w:rsidRDefault="001E7060" w:rsidP="00137EAA">
      <w:pPr>
        <w:jc w:val="both"/>
        <w:rPr>
          <w:sz w:val="32"/>
          <w:szCs w:val="32"/>
        </w:rPr>
      </w:pPr>
    </w:p>
    <w:p w14:paraId="731C2420" w14:textId="4CD35736" w:rsidR="002D4C13" w:rsidRDefault="003C1C5E" w:rsidP="00137EAA">
      <w:pPr>
        <w:jc w:val="both"/>
        <w:rPr>
          <w:sz w:val="32"/>
          <w:szCs w:val="32"/>
        </w:rPr>
      </w:pPr>
      <w:r>
        <w:rPr>
          <w:sz w:val="32"/>
          <w:szCs w:val="32"/>
        </w:rPr>
        <w:t>a)</w:t>
      </w:r>
      <w:r w:rsidR="002D4C13">
        <w:rPr>
          <w:sz w:val="32"/>
          <w:szCs w:val="32"/>
        </w:rPr>
        <w:t xml:space="preserve"> depuis 1988</w:t>
      </w:r>
    </w:p>
    <w:p w14:paraId="4B8DF9D8" w14:textId="77777777" w:rsidR="004C0757" w:rsidRDefault="004C0757" w:rsidP="004C0757">
      <w:pPr>
        <w:shd w:val="clear" w:color="auto" w:fill="FFFFFF"/>
        <w:spacing w:after="120"/>
        <w:outlineLvl w:val="1"/>
        <w:rPr>
          <w:rFonts w:ascii="Arial" w:hAnsi="Arial" w:cs="Arial"/>
          <w:b/>
          <w:bCs/>
          <w:color w:val="4A5E81"/>
          <w:sz w:val="21"/>
          <w:szCs w:val="21"/>
        </w:rPr>
      </w:pPr>
    </w:p>
    <w:p w14:paraId="54172CD6" w14:textId="0ACBE7F3" w:rsidR="004C0757" w:rsidRPr="004C0757" w:rsidRDefault="004C0757" w:rsidP="004C0757">
      <w:pPr>
        <w:shd w:val="clear" w:color="auto" w:fill="FFFFFF"/>
        <w:spacing w:after="120"/>
        <w:jc w:val="both"/>
        <w:outlineLvl w:val="1"/>
        <w:rPr>
          <w:rFonts w:ascii="Arial" w:hAnsi="Arial" w:cs="Arial"/>
          <w:b/>
          <w:bCs/>
          <w:color w:val="4A5E81"/>
          <w:sz w:val="32"/>
          <w:szCs w:val="32"/>
        </w:rPr>
      </w:pPr>
      <w:r w:rsidRPr="004C0757">
        <w:rPr>
          <w:rFonts w:ascii="Arial" w:hAnsi="Arial" w:cs="Arial"/>
          <w:b/>
          <w:bCs/>
          <w:color w:val="4A5E81"/>
          <w:sz w:val="32"/>
          <w:szCs w:val="32"/>
        </w:rPr>
        <w:t>Article L1612-6</w:t>
      </w:r>
    </w:p>
    <w:p w14:paraId="1D965330" w14:textId="77777777" w:rsidR="004C0757" w:rsidRPr="004C0757" w:rsidRDefault="004C0757" w:rsidP="004C0757">
      <w:pPr>
        <w:shd w:val="clear" w:color="auto" w:fill="FFFFFF"/>
        <w:jc w:val="both"/>
        <w:rPr>
          <w:rFonts w:ascii="Arial" w:hAnsi="Arial" w:cs="Arial"/>
          <w:i/>
          <w:iCs/>
          <w:color w:val="3C3C3C"/>
          <w:sz w:val="32"/>
          <w:szCs w:val="32"/>
        </w:rPr>
      </w:pPr>
      <w:r w:rsidRPr="004C0757">
        <w:rPr>
          <w:rFonts w:ascii="Arial" w:hAnsi="Arial" w:cs="Arial"/>
          <w:i/>
          <w:iCs/>
          <w:color w:val="3C3C3C"/>
          <w:sz w:val="32"/>
          <w:szCs w:val="32"/>
        </w:rPr>
        <w:lastRenderedPageBreak/>
        <w:t>Toutefois, pour l'application de l'article </w:t>
      </w:r>
      <w:hyperlink r:id="rId7" w:tooltip="Code général des collectivités territoriales - art. L1612-5 (V)" w:history="1">
        <w:r w:rsidRPr="004C0757">
          <w:rPr>
            <w:rFonts w:ascii="Arial" w:hAnsi="Arial" w:cs="Arial"/>
            <w:i/>
            <w:iCs/>
            <w:color w:val="0000FF"/>
            <w:sz w:val="32"/>
            <w:szCs w:val="32"/>
            <w:u w:val="single"/>
          </w:rPr>
          <w:t>L. 1612-5</w:t>
        </w:r>
      </w:hyperlink>
      <w:r w:rsidRPr="004C0757">
        <w:rPr>
          <w:rFonts w:ascii="Arial" w:hAnsi="Arial" w:cs="Arial"/>
          <w:i/>
          <w:iCs/>
          <w:color w:val="3C3C3C"/>
          <w:sz w:val="32"/>
          <w:szCs w:val="32"/>
        </w:rPr>
        <w:t xml:space="preserve">, n'est pas considéré comme étant en déséquilibre le budget dont la </w:t>
      </w:r>
      <w:r w:rsidRPr="004C0757">
        <w:rPr>
          <w:rFonts w:ascii="Arial" w:hAnsi="Arial" w:cs="Arial"/>
          <w:i/>
          <w:iCs/>
          <w:color w:val="3C3C3C"/>
          <w:sz w:val="32"/>
          <w:szCs w:val="32"/>
          <w:u w:val="single"/>
        </w:rPr>
        <w:t>section de fonctionnement</w:t>
      </w:r>
      <w:r w:rsidRPr="004C0757">
        <w:rPr>
          <w:rFonts w:ascii="Arial" w:hAnsi="Arial" w:cs="Arial"/>
          <w:i/>
          <w:iCs/>
          <w:color w:val="3C3C3C"/>
          <w:sz w:val="32"/>
          <w:szCs w:val="32"/>
        </w:rPr>
        <w:t xml:space="preserve"> comporte ou reprend un excédent et dont la section d'investissement est en équilibre réel, après reprise pour chacune des sections des résultats apparaissant au compte administratif de l'exercice précédent.</w:t>
      </w:r>
    </w:p>
    <w:p w14:paraId="2B021AD3" w14:textId="77777777" w:rsidR="004C0757" w:rsidRPr="004C0757" w:rsidRDefault="004C0757" w:rsidP="004C0757"/>
    <w:p w14:paraId="35AE09AC" w14:textId="67B1F217" w:rsidR="004C0757" w:rsidRDefault="001E7060" w:rsidP="00137EAA">
      <w:pPr>
        <w:jc w:val="both"/>
        <w:rPr>
          <w:sz w:val="32"/>
          <w:szCs w:val="32"/>
        </w:rPr>
      </w:pPr>
      <w:r>
        <w:rPr>
          <w:sz w:val="32"/>
          <w:szCs w:val="32"/>
        </w:rPr>
        <w:t xml:space="preserve">Si la SF est en excédent = il n’y a pas de déséquilibre. </w:t>
      </w:r>
    </w:p>
    <w:p w14:paraId="6FE6E414" w14:textId="77777777" w:rsidR="001E7060" w:rsidRDefault="001E7060" w:rsidP="00137EAA">
      <w:pPr>
        <w:jc w:val="both"/>
        <w:rPr>
          <w:sz w:val="32"/>
          <w:szCs w:val="32"/>
        </w:rPr>
      </w:pPr>
    </w:p>
    <w:p w14:paraId="7202E719" w14:textId="5827817F" w:rsidR="002D4C13" w:rsidRDefault="003C1C5E" w:rsidP="00137EAA">
      <w:pPr>
        <w:jc w:val="both"/>
        <w:rPr>
          <w:sz w:val="32"/>
          <w:szCs w:val="32"/>
        </w:rPr>
      </w:pPr>
      <w:r>
        <w:rPr>
          <w:sz w:val="32"/>
          <w:szCs w:val="32"/>
        </w:rPr>
        <w:t>b)</w:t>
      </w:r>
      <w:r w:rsidR="002D4C13">
        <w:rPr>
          <w:sz w:val="32"/>
          <w:szCs w:val="32"/>
        </w:rPr>
        <w:t xml:space="preserve"> depuis 1994</w:t>
      </w:r>
      <w:r w:rsidR="001E7060">
        <w:rPr>
          <w:sz w:val="32"/>
          <w:szCs w:val="32"/>
        </w:rPr>
        <w:t xml:space="preserve"> (amortissements et provisions) </w:t>
      </w:r>
    </w:p>
    <w:p w14:paraId="76D3D635" w14:textId="77777777" w:rsidR="00895E66" w:rsidRDefault="00895E66" w:rsidP="00895E66">
      <w:pPr>
        <w:shd w:val="clear" w:color="auto" w:fill="FFFFFF"/>
        <w:spacing w:after="120"/>
        <w:outlineLvl w:val="1"/>
        <w:rPr>
          <w:rFonts w:ascii="Arial" w:hAnsi="Arial" w:cs="Arial"/>
          <w:b/>
          <w:bCs/>
          <w:color w:val="4A5E81"/>
          <w:sz w:val="21"/>
          <w:szCs w:val="21"/>
        </w:rPr>
      </w:pPr>
    </w:p>
    <w:p w14:paraId="5BF1AA07" w14:textId="71FF5896" w:rsidR="00895E66" w:rsidRPr="004C0757" w:rsidRDefault="00895E66" w:rsidP="00895E66">
      <w:pPr>
        <w:shd w:val="clear" w:color="auto" w:fill="FFFFFF"/>
        <w:spacing w:after="120"/>
        <w:jc w:val="both"/>
        <w:outlineLvl w:val="1"/>
        <w:rPr>
          <w:rFonts w:ascii="Arial" w:hAnsi="Arial" w:cs="Arial"/>
          <w:b/>
          <w:bCs/>
          <w:color w:val="4A5E81"/>
          <w:sz w:val="32"/>
          <w:szCs w:val="32"/>
        </w:rPr>
      </w:pPr>
      <w:r w:rsidRPr="004C0757">
        <w:rPr>
          <w:rFonts w:ascii="Arial" w:hAnsi="Arial" w:cs="Arial"/>
          <w:b/>
          <w:bCs/>
          <w:color w:val="4A5E81"/>
          <w:sz w:val="32"/>
          <w:szCs w:val="32"/>
        </w:rPr>
        <w:t>Article L1612-</w:t>
      </w:r>
      <w:r>
        <w:rPr>
          <w:rFonts w:ascii="Arial" w:hAnsi="Arial" w:cs="Arial"/>
          <w:b/>
          <w:bCs/>
          <w:color w:val="4A5E81"/>
          <w:sz w:val="32"/>
          <w:szCs w:val="32"/>
        </w:rPr>
        <w:t>7</w:t>
      </w:r>
    </w:p>
    <w:p w14:paraId="76F85A66" w14:textId="6BF677B6" w:rsidR="00895E66" w:rsidRPr="00895E66" w:rsidRDefault="00895E66" w:rsidP="00895E66">
      <w:pPr>
        <w:shd w:val="clear" w:color="auto" w:fill="FFFFFF"/>
        <w:jc w:val="both"/>
        <w:textAlignment w:val="top"/>
        <w:rPr>
          <w:rFonts w:ascii="Arial" w:hAnsi="Arial" w:cs="Arial"/>
          <w:i/>
          <w:iCs/>
          <w:color w:val="222222"/>
          <w:sz w:val="32"/>
          <w:szCs w:val="32"/>
        </w:rPr>
      </w:pPr>
      <w:r w:rsidRPr="00895E66">
        <w:rPr>
          <w:rFonts w:ascii="Arial" w:hAnsi="Arial" w:cs="Arial"/>
          <w:i/>
          <w:iCs/>
          <w:color w:val="222222"/>
          <w:sz w:val="32"/>
          <w:szCs w:val="32"/>
        </w:rPr>
        <w:t>A compter de l'exercice 1997, pour l'application de l'article </w:t>
      </w:r>
      <w:hyperlink r:id="rId8" w:history="1">
        <w:r w:rsidRPr="00895E66">
          <w:rPr>
            <w:rFonts w:ascii="Arial" w:hAnsi="Arial" w:cs="Arial"/>
            <w:i/>
            <w:iCs/>
            <w:color w:val="1B619C"/>
            <w:sz w:val="32"/>
            <w:szCs w:val="32"/>
            <w:u w:val="single"/>
            <w:bdr w:val="none" w:sz="0" w:space="0" w:color="auto" w:frame="1"/>
          </w:rPr>
          <w:t>L. 1612-5</w:t>
        </w:r>
      </w:hyperlink>
      <w:r w:rsidRPr="00895E66">
        <w:rPr>
          <w:rFonts w:ascii="Arial" w:hAnsi="Arial" w:cs="Arial"/>
          <w:i/>
          <w:iCs/>
          <w:color w:val="222222"/>
          <w:sz w:val="32"/>
          <w:szCs w:val="32"/>
        </w:rPr>
        <w:t xml:space="preserve">, n'est pas considéré comme étant en déséquilibre le budget de la commune dont la section de fonctionnement comporte ou reprend un excédent reporté par décision du conseil municipal ou dont la </w:t>
      </w:r>
      <w:r w:rsidRPr="00895E66">
        <w:rPr>
          <w:rFonts w:ascii="Arial" w:hAnsi="Arial" w:cs="Arial"/>
          <w:i/>
          <w:iCs/>
          <w:color w:val="222222"/>
          <w:sz w:val="32"/>
          <w:szCs w:val="32"/>
          <w:u w:val="single"/>
        </w:rPr>
        <w:t>section d'investissement</w:t>
      </w:r>
      <w:r w:rsidRPr="00895E66">
        <w:rPr>
          <w:rFonts w:ascii="Arial" w:hAnsi="Arial" w:cs="Arial"/>
          <w:i/>
          <w:iCs/>
          <w:color w:val="222222"/>
          <w:sz w:val="32"/>
          <w:szCs w:val="32"/>
        </w:rPr>
        <w:t xml:space="preserve"> comporte un excédent, notamment après inscription des dotations aux amortissements et aux provisions exigées.</w:t>
      </w:r>
    </w:p>
    <w:p w14:paraId="76002459" w14:textId="77777777" w:rsidR="00895E66" w:rsidRPr="00895E66" w:rsidRDefault="00895E66" w:rsidP="00895E66"/>
    <w:p w14:paraId="1EF2545C" w14:textId="0F6A8414" w:rsidR="00895E66" w:rsidRDefault="001E7060" w:rsidP="00137EAA">
      <w:pPr>
        <w:jc w:val="both"/>
        <w:rPr>
          <w:sz w:val="32"/>
          <w:szCs w:val="32"/>
        </w:rPr>
      </w:pPr>
      <w:r>
        <w:rPr>
          <w:sz w:val="32"/>
          <w:szCs w:val="32"/>
        </w:rPr>
        <w:t xml:space="preserve">Si la SI est en excédent = il n’y a pas de déséquilibre. </w:t>
      </w:r>
    </w:p>
    <w:p w14:paraId="04599D74" w14:textId="4C8194E3" w:rsidR="00003CE0" w:rsidRDefault="00003CE0" w:rsidP="00137EAA">
      <w:pPr>
        <w:jc w:val="both"/>
        <w:rPr>
          <w:sz w:val="32"/>
          <w:szCs w:val="32"/>
        </w:rPr>
      </w:pPr>
      <w:r>
        <w:rPr>
          <w:sz w:val="32"/>
          <w:szCs w:val="32"/>
        </w:rPr>
        <w:t>Ce qui est interdit c’est que le budget soit en déficit.</w:t>
      </w:r>
    </w:p>
    <w:p w14:paraId="2239A83A" w14:textId="77777777" w:rsidR="00003CE0" w:rsidRDefault="00003CE0" w:rsidP="00137EAA">
      <w:pPr>
        <w:jc w:val="both"/>
        <w:rPr>
          <w:sz w:val="32"/>
          <w:szCs w:val="32"/>
        </w:rPr>
      </w:pPr>
    </w:p>
    <w:p w14:paraId="05099218" w14:textId="36894DFC" w:rsidR="00003CE0" w:rsidRDefault="00003CE0" w:rsidP="00137EAA">
      <w:pPr>
        <w:jc w:val="both"/>
        <w:rPr>
          <w:sz w:val="32"/>
          <w:szCs w:val="32"/>
        </w:rPr>
      </w:pPr>
      <w:r>
        <w:rPr>
          <w:sz w:val="32"/>
          <w:szCs w:val="32"/>
        </w:rPr>
        <w:t>Il peut être équilibré (équilibre réel) ou en excédent (SF depuis 88 ou SI depuis 94)</w:t>
      </w:r>
    </w:p>
    <w:p w14:paraId="74A02ED2" w14:textId="4031329D" w:rsidR="002D4C13" w:rsidRDefault="002D4C13" w:rsidP="00137EAA">
      <w:pPr>
        <w:jc w:val="both"/>
        <w:rPr>
          <w:sz w:val="32"/>
          <w:szCs w:val="32"/>
        </w:rPr>
      </w:pPr>
    </w:p>
    <w:p w14:paraId="3A6F827C" w14:textId="79002148" w:rsidR="002D4C13" w:rsidRDefault="003C1C5E" w:rsidP="00137EAA">
      <w:pPr>
        <w:jc w:val="both"/>
        <w:rPr>
          <w:sz w:val="32"/>
          <w:szCs w:val="32"/>
        </w:rPr>
      </w:pPr>
      <w:r>
        <w:rPr>
          <w:b/>
          <w:bCs/>
          <w:sz w:val="32"/>
          <w:szCs w:val="32"/>
        </w:rPr>
        <w:t>§2</w:t>
      </w:r>
      <w:r w:rsidR="002D4C13" w:rsidRPr="002D4C13">
        <w:rPr>
          <w:b/>
          <w:bCs/>
          <w:sz w:val="32"/>
          <w:szCs w:val="32"/>
        </w:rPr>
        <w:t xml:space="preserve"> Pour le compte </w:t>
      </w:r>
      <w:proofErr w:type="gramStart"/>
      <w:r w:rsidR="002D4C13" w:rsidRPr="002D4C13">
        <w:rPr>
          <w:b/>
          <w:bCs/>
          <w:sz w:val="32"/>
          <w:szCs w:val="32"/>
        </w:rPr>
        <w:t>administratif</w:t>
      </w:r>
      <w:r w:rsidR="002D4C13">
        <w:rPr>
          <w:sz w:val="32"/>
          <w:szCs w:val="32"/>
        </w:rPr>
        <w:t xml:space="preserve"> </w:t>
      </w:r>
      <w:r w:rsidR="00003CE0">
        <w:rPr>
          <w:sz w:val="32"/>
          <w:szCs w:val="32"/>
        </w:rPr>
        <w:t xml:space="preserve"> </w:t>
      </w:r>
      <w:r w:rsidR="002D4C13">
        <w:rPr>
          <w:sz w:val="32"/>
          <w:szCs w:val="32"/>
        </w:rPr>
        <w:t>(</w:t>
      </w:r>
      <w:proofErr w:type="gramEnd"/>
      <w:r w:rsidR="002D4C13">
        <w:rPr>
          <w:sz w:val="32"/>
          <w:szCs w:val="32"/>
        </w:rPr>
        <w:t>document constatant les résultats des recettes encaissées et des dépenses payées)</w:t>
      </w:r>
    </w:p>
    <w:p w14:paraId="682EBC84" w14:textId="77777777" w:rsidR="00E4346B" w:rsidRDefault="00E4346B" w:rsidP="00137EAA">
      <w:pPr>
        <w:jc w:val="both"/>
        <w:rPr>
          <w:sz w:val="32"/>
          <w:szCs w:val="32"/>
        </w:rPr>
      </w:pPr>
    </w:p>
    <w:p w14:paraId="323EAC72" w14:textId="2E9D019B" w:rsidR="002D4C13" w:rsidRDefault="002D4C13" w:rsidP="00137EAA">
      <w:pPr>
        <w:jc w:val="both"/>
        <w:rPr>
          <w:sz w:val="32"/>
          <w:szCs w:val="32"/>
        </w:rPr>
      </w:pPr>
      <w:r>
        <w:rPr>
          <w:sz w:val="32"/>
          <w:szCs w:val="32"/>
        </w:rPr>
        <w:t>Règle découlant de l’article L. 1612-14 du CGCT</w:t>
      </w:r>
    </w:p>
    <w:p w14:paraId="4EDB2E5A" w14:textId="77777777" w:rsidR="00C6385D" w:rsidRDefault="00C6385D" w:rsidP="00C6385D">
      <w:pPr>
        <w:pStyle w:val="Titre2"/>
        <w:shd w:val="clear" w:color="auto" w:fill="FFFFFF"/>
        <w:spacing w:before="0" w:beforeAutospacing="0" w:after="120" w:afterAutospacing="0"/>
        <w:rPr>
          <w:rFonts w:ascii="Arial" w:hAnsi="Arial" w:cs="Arial"/>
          <w:color w:val="4A5E81"/>
          <w:sz w:val="21"/>
          <w:szCs w:val="21"/>
        </w:rPr>
      </w:pPr>
      <w:r>
        <w:rPr>
          <w:rFonts w:ascii="Arial" w:hAnsi="Arial" w:cs="Arial"/>
          <w:color w:val="4A5E81"/>
          <w:sz w:val="21"/>
          <w:szCs w:val="21"/>
        </w:rPr>
        <w:t>Article L1612-14</w:t>
      </w:r>
    </w:p>
    <w:p w14:paraId="498E221D" w14:textId="77777777" w:rsidR="00C6385D" w:rsidRPr="00930291" w:rsidRDefault="00C6385D" w:rsidP="00C6385D">
      <w:pPr>
        <w:shd w:val="clear" w:color="auto" w:fill="FFFFFF"/>
        <w:jc w:val="both"/>
        <w:rPr>
          <w:rFonts w:ascii="Arial" w:hAnsi="Arial" w:cs="Arial"/>
          <w:i/>
          <w:iCs/>
          <w:color w:val="3C3C3C"/>
          <w:sz w:val="32"/>
          <w:szCs w:val="32"/>
        </w:rPr>
      </w:pPr>
      <w:r w:rsidRPr="00930291">
        <w:rPr>
          <w:rFonts w:ascii="Arial" w:hAnsi="Arial" w:cs="Arial"/>
          <w:i/>
          <w:iCs/>
          <w:color w:val="3C3C3C"/>
          <w:sz w:val="32"/>
          <w:szCs w:val="32"/>
        </w:rPr>
        <w:t>Lorsque l'arrêté des comptes des collectivités territoriales fait apparaître dans l'exécution du budget, après vérification de la sincérité des inscriptions de recettes et de dépenses, un déficit égal ou supérieur à 10 % des recettes de la section de fonctionnement s'il s'agit d'une commune de moins de 20 000 habitants et à 5 % dans les autres cas, la chambre régionale des comptes, saisie par le représentant de l'État, propose à la collectivité territoriale les mesures nécessaires au rétablissement de l'équilibre budgétaire, dans le délai d'un mois à compter de cette saisine.</w:t>
      </w:r>
    </w:p>
    <w:p w14:paraId="72FD6A25" w14:textId="6403029F" w:rsidR="002D4C13" w:rsidRDefault="002D4C13" w:rsidP="00137EAA">
      <w:pPr>
        <w:jc w:val="both"/>
        <w:rPr>
          <w:sz w:val="32"/>
          <w:szCs w:val="32"/>
        </w:rPr>
      </w:pPr>
    </w:p>
    <w:p w14:paraId="62887277" w14:textId="77777777" w:rsidR="00E4346B" w:rsidRDefault="00E4346B" w:rsidP="00137EAA">
      <w:pPr>
        <w:jc w:val="both"/>
        <w:rPr>
          <w:sz w:val="32"/>
          <w:szCs w:val="32"/>
        </w:rPr>
      </w:pPr>
    </w:p>
    <w:p w14:paraId="1FE903DA" w14:textId="0B729634" w:rsidR="002D4C13" w:rsidRDefault="003C1C5E" w:rsidP="00137EAA">
      <w:pPr>
        <w:jc w:val="both"/>
        <w:rPr>
          <w:sz w:val="32"/>
          <w:szCs w:val="32"/>
        </w:rPr>
      </w:pPr>
      <w:r>
        <w:rPr>
          <w:sz w:val="32"/>
          <w:szCs w:val="32"/>
        </w:rPr>
        <w:t>a)</w:t>
      </w:r>
      <w:r w:rsidR="002D4C13">
        <w:rPr>
          <w:sz w:val="32"/>
          <w:szCs w:val="32"/>
        </w:rPr>
        <w:t xml:space="preserve"> pour les communes de -20 000 habitants</w:t>
      </w:r>
      <w:r w:rsidR="00003CE0">
        <w:rPr>
          <w:sz w:val="32"/>
          <w:szCs w:val="32"/>
        </w:rPr>
        <w:t> :</w:t>
      </w:r>
    </w:p>
    <w:p w14:paraId="654BE433" w14:textId="56CA9869" w:rsidR="00003CE0" w:rsidRDefault="00003CE0" w:rsidP="00137EAA">
      <w:pPr>
        <w:jc w:val="both"/>
        <w:rPr>
          <w:sz w:val="32"/>
          <w:szCs w:val="32"/>
        </w:rPr>
      </w:pPr>
      <w:r>
        <w:rPr>
          <w:sz w:val="32"/>
          <w:szCs w:val="32"/>
        </w:rPr>
        <w:lastRenderedPageBreak/>
        <w:t xml:space="preserve">Ce sont des petites communes, on va donc leur donner plus de marge de manœuvre. Elles auront doit à un déficit autorisé à condition de ne pas dépasser 10% des RRF. </w:t>
      </w:r>
    </w:p>
    <w:p w14:paraId="72EBA8FA" w14:textId="77777777" w:rsidR="00C4307F" w:rsidRDefault="00C4307F" w:rsidP="00137EAA">
      <w:pPr>
        <w:jc w:val="both"/>
        <w:rPr>
          <w:sz w:val="32"/>
          <w:szCs w:val="32"/>
        </w:rPr>
      </w:pPr>
    </w:p>
    <w:p w14:paraId="3149C64B" w14:textId="66AFBDE0" w:rsidR="002D4C13" w:rsidRDefault="003C1C5E" w:rsidP="00137EAA">
      <w:pPr>
        <w:jc w:val="both"/>
        <w:rPr>
          <w:sz w:val="32"/>
          <w:szCs w:val="32"/>
        </w:rPr>
      </w:pPr>
      <w:r>
        <w:rPr>
          <w:sz w:val="32"/>
          <w:szCs w:val="32"/>
        </w:rPr>
        <w:t>b)</w:t>
      </w:r>
      <w:r w:rsidR="002D4C13">
        <w:rPr>
          <w:sz w:val="32"/>
          <w:szCs w:val="32"/>
        </w:rPr>
        <w:t xml:space="preserve"> pour les communes de + 20 000 habitants, les départements, les régions</w:t>
      </w:r>
    </w:p>
    <w:p w14:paraId="511EB82D" w14:textId="5E52535B" w:rsidR="00003CE0" w:rsidRDefault="00003CE0" w:rsidP="00137EAA">
      <w:pPr>
        <w:jc w:val="both"/>
        <w:rPr>
          <w:sz w:val="32"/>
          <w:szCs w:val="32"/>
        </w:rPr>
      </w:pPr>
      <w:r>
        <w:rPr>
          <w:sz w:val="32"/>
          <w:szCs w:val="32"/>
        </w:rPr>
        <w:t>Le seuil sera de 5% des RRF</w:t>
      </w:r>
    </w:p>
    <w:p w14:paraId="3F6B205C" w14:textId="77777777" w:rsidR="00A31348" w:rsidRDefault="00A31348" w:rsidP="00137EAA">
      <w:pPr>
        <w:jc w:val="both"/>
        <w:rPr>
          <w:sz w:val="32"/>
          <w:szCs w:val="32"/>
        </w:rPr>
      </w:pPr>
    </w:p>
    <w:p w14:paraId="10B52AE1" w14:textId="19A37246" w:rsidR="00A31348" w:rsidRDefault="00A31348" w:rsidP="00137EAA">
      <w:pPr>
        <w:jc w:val="both"/>
        <w:rPr>
          <w:sz w:val="32"/>
          <w:szCs w:val="32"/>
        </w:rPr>
      </w:pPr>
    </w:p>
    <w:p w14:paraId="2E639BF5" w14:textId="6BDA4529" w:rsidR="002D4C13" w:rsidRDefault="002D4C13" w:rsidP="00137EAA">
      <w:pPr>
        <w:jc w:val="both"/>
        <w:rPr>
          <w:sz w:val="32"/>
          <w:szCs w:val="32"/>
        </w:rPr>
      </w:pPr>
    </w:p>
    <w:p w14:paraId="2F9C2923" w14:textId="14E2E548" w:rsidR="00C4307F" w:rsidRDefault="00C4307F" w:rsidP="00137EAA">
      <w:pPr>
        <w:jc w:val="both"/>
        <w:rPr>
          <w:sz w:val="32"/>
          <w:szCs w:val="32"/>
        </w:rPr>
      </w:pPr>
    </w:p>
    <w:p w14:paraId="13FF9E0D" w14:textId="1355F8D3" w:rsidR="00A31348" w:rsidRPr="002D4C13" w:rsidRDefault="003C1C5E" w:rsidP="00137EAA">
      <w:pPr>
        <w:jc w:val="both"/>
        <w:rPr>
          <w:b/>
          <w:bCs/>
          <w:sz w:val="32"/>
          <w:szCs w:val="32"/>
          <w:u w:val="single"/>
        </w:rPr>
      </w:pPr>
      <w:r>
        <w:rPr>
          <w:b/>
          <w:bCs/>
          <w:sz w:val="32"/>
          <w:szCs w:val="32"/>
          <w:u w:val="single"/>
        </w:rPr>
        <w:t>C/</w:t>
      </w:r>
      <w:r w:rsidR="00A31348" w:rsidRPr="002D4C13">
        <w:rPr>
          <w:b/>
          <w:bCs/>
          <w:sz w:val="32"/>
          <w:szCs w:val="32"/>
          <w:u w:val="single"/>
        </w:rPr>
        <w:t xml:space="preserve"> Les contrôles de l’équilibre</w:t>
      </w:r>
    </w:p>
    <w:p w14:paraId="24AC5C8E" w14:textId="0367700F" w:rsidR="002D4C13" w:rsidRDefault="002D4C13" w:rsidP="00137EAA">
      <w:pPr>
        <w:jc w:val="both"/>
        <w:rPr>
          <w:sz w:val="32"/>
          <w:szCs w:val="32"/>
        </w:rPr>
      </w:pPr>
    </w:p>
    <w:p w14:paraId="324292F7" w14:textId="52D031C8" w:rsidR="002D4C13" w:rsidRDefault="003C1C5E" w:rsidP="00137EAA">
      <w:pPr>
        <w:jc w:val="both"/>
        <w:rPr>
          <w:b/>
          <w:bCs/>
          <w:sz w:val="32"/>
          <w:szCs w:val="32"/>
        </w:rPr>
      </w:pPr>
      <w:r>
        <w:rPr>
          <w:b/>
          <w:bCs/>
          <w:sz w:val="32"/>
          <w:szCs w:val="32"/>
        </w:rPr>
        <w:t>§1</w:t>
      </w:r>
      <w:r w:rsidR="002D4C13" w:rsidRPr="002D4C13">
        <w:rPr>
          <w:b/>
          <w:bCs/>
          <w:sz w:val="32"/>
          <w:szCs w:val="32"/>
        </w:rPr>
        <w:t xml:space="preserve"> La procédure de contrôle de l’équilibre réel du budget</w:t>
      </w:r>
    </w:p>
    <w:p w14:paraId="73B5AFF0" w14:textId="1C2B8FCA" w:rsidR="00087DF9" w:rsidRDefault="00087DF9" w:rsidP="00137EAA">
      <w:pPr>
        <w:jc w:val="both"/>
        <w:rPr>
          <w:b/>
          <w:bCs/>
          <w:sz w:val="32"/>
          <w:szCs w:val="32"/>
        </w:rPr>
      </w:pPr>
    </w:p>
    <w:p w14:paraId="4E37E6C3" w14:textId="7E11E38E" w:rsidR="00087DF9" w:rsidRDefault="00087DF9" w:rsidP="00137EAA">
      <w:pPr>
        <w:jc w:val="both"/>
        <w:rPr>
          <w:b/>
          <w:bCs/>
          <w:sz w:val="32"/>
          <w:szCs w:val="32"/>
        </w:rPr>
      </w:pPr>
      <w:r>
        <w:rPr>
          <w:b/>
          <w:bCs/>
          <w:sz w:val="32"/>
          <w:szCs w:val="32"/>
        </w:rPr>
        <w:t>Article L. 1612-5 du CGCT</w:t>
      </w:r>
    </w:p>
    <w:p w14:paraId="6F22BE94" w14:textId="646DC0F4" w:rsidR="00087DF9" w:rsidRPr="00087DF9" w:rsidRDefault="00087DF9" w:rsidP="00087DF9">
      <w:pPr>
        <w:shd w:val="clear" w:color="auto" w:fill="FFFFFF"/>
        <w:jc w:val="both"/>
        <w:rPr>
          <w:rFonts w:ascii="Arial" w:hAnsi="Arial" w:cs="Arial"/>
          <w:i/>
          <w:iCs/>
          <w:color w:val="3C3C3C"/>
          <w:sz w:val="32"/>
          <w:szCs w:val="32"/>
        </w:rPr>
      </w:pPr>
      <w:r w:rsidRPr="00087DF9">
        <w:rPr>
          <w:rFonts w:ascii="Arial" w:hAnsi="Arial" w:cs="Arial"/>
          <w:i/>
          <w:iCs/>
          <w:color w:val="3C3C3C"/>
          <w:sz w:val="32"/>
          <w:szCs w:val="32"/>
        </w:rPr>
        <w:t>Lorsque le budget d'une collectivité territoriale n'est pas voté en équilibre réel, la chambre régionale des comptes, saisie par le représentant de l'</w:t>
      </w:r>
      <w:r w:rsidR="00895E66" w:rsidRPr="00930291">
        <w:rPr>
          <w:rFonts w:ascii="Arial" w:hAnsi="Arial" w:cs="Arial"/>
          <w:i/>
          <w:iCs/>
          <w:color w:val="3C3C3C"/>
          <w:sz w:val="32"/>
          <w:szCs w:val="32"/>
        </w:rPr>
        <w:t>É</w:t>
      </w:r>
      <w:r w:rsidRPr="00087DF9">
        <w:rPr>
          <w:rFonts w:ascii="Arial" w:hAnsi="Arial" w:cs="Arial"/>
          <w:i/>
          <w:iCs/>
          <w:color w:val="3C3C3C"/>
          <w:sz w:val="32"/>
          <w:szCs w:val="32"/>
        </w:rPr>
        <w:t>tat dans un délai de trente jours à compter de la transmission prévue aux articles </w:t>
      </w:r>
      <w:hyperlink r:id="rId9" w:tooltip="Code général des collectivités territoriales - art. L2131-1 (V)" w:history="1">
        <w:r w:rsidRPr="00087DF9">
          <w:rPr>
            <w:rFonts w:ascii="Arial" w:hAnsi="Arial" w:cs="Arial"/>
            <w:i/>
            <w:iCs/>
            <w:color w:val="0000FF"/>
            <w:sz w:val="32"/>
            <w:szCs w:val="32"/>
            <w:u w:val="single"/>
          </w:rPr>
          <w:t>L. 2131-1</w:t>
        </w:r>
      </w:hyperlink>
      <w:r w:rsidRPr="00087DF9">
        <w:rPr>
          <w:rFonts w:ascii="Arial" w:hAnsi="Arial" w:cs="Arial"/>
          <w:i/>
          <w:iCs/>
          <w:color w:val="3C3C3C"/>
          <w:sz w:val="32"/>
          <w:szCs w:val="32"/>
        </w:rPr>
        <w:t>, </w:t>
      </w:r>
      <w:hyperlink r:id="rId10" w:tooltip="Code général des collectivités territoriales - art. L3131-1 (V)" w:history="1">
        <w:r w:rsidRPr="00087DF9">
          <w:rPr>
            <w:rFonts w:ascii="Arial" w:hAnsi="Arial" w:cs="Arial"/>
            <w:i/>
            <w:iCs/>
            <w:color w:val="0000FF"/>
            <w:sz w:val="32"/>
            <w:szCs w:val="32"/>
            <w:u w:val="single"/>
          </w:rPr>
          <w:t>L. 3131-1 </w:t>
        </w:r>
      </w:hyperlink>
      <w:r w:rsidRPr="00087DF9">
        <w:rPr>
          <w:rFonts w:ascii="Arial" w:hAnsi="Arial" w:cs="Arial"/>
          <w:i/>
          <w:iCs/>
          <w:color w:val="3C3C3C"/>
          <w:sz w:val="32"/>
          <w:szCs w:val="32"/>
        </w:rPr>
        <w:t>et </w:t>
      </w:r>
      <w:hyperlink r:id="rId11" w:tooltip="Code général des collectivités territoriales - art. L4141-1 (V)" w:history="1">
        <w:r w:rsidRPr="00087DF9">
          <w:rPr>
            <w:rFonts w:ascii="Arial" w:hAnsi="Arial" w:cs="Arial"/>
            <w:i/>
            <w:iCs/>
            <w:color w:val="0000FF"/>
            <w:sz w:val="32"/>
            <w:szCs w:val="32"/>
            <w:u w:val="single"/>
          </w:rPr>
          <w:t>L. 4141-1</w:t>
        </w:r>
      </w:hyperlink>
      <w:r w:rsidRPr="00087DF9">
        <w:rPr>
          <w:rFonts w:ascii="Arial" w:hAnsi="Arial" w:cs="Arial"/>
          <w:i/>
          <w:iCs/>
          <w:color w:val="3C3C3C"/>
          <w:sz w:val="32"/>
          <w:szCs w:val="32"/>
        </w:rPr>
        <w:t>, le constate et propose à la collectivité territoriale, dans un délai de trente jours à compter de la saisine, les mesures nécessaires au rétablissement de l'équilibre budgétaire et demande à l'organe délibérant une nouvelle délibération.</w:t>
      </w:r>
    </w:p>
    <w:p w14:paraId="22F62A9B" w14:textId="225F537E" w:rsidR="00087DF9" w:rsidRDefault="00087DF9" w:rsidP="00087DF9">
      <w:pPr>
        <w:shd w:val="clear" w:color="auto" w:fill="FFFFFF"/>
        <w:jc w:val="both"/>
        <w:rPr>
          <w:rFonts w:ascii="Arial" w:hAnsi="Arial" w:cs="Arial"/>
          <w:i/>
          <w:iCs/>
          <w:color w:val="3C3C3C"/>
          <w:sz w:val="32"/>
          <w:szCs w:val="32"/>
        </w:rPr>
      </w:pPr>
      <w:r w:rsidRPr="00087DF9">
        <w:rPr>
          <w:rFonts w:ascii="Arial" w:hAnsi="Arial" w:cs="Arial"/>
          <w:i/>
          <w:iCs/>
          <w:color w:val="3C3C3C"/>
          <w:sz w:val="32"/>
          <w:szCs w:val="32"/>
        </w:rPr>
        <w:t>La nouvelle délibération, rectifiant le budget initial, doit intervenir dans un délai d'un mois à partir de la communication des propositions de la chambre régionale des comptes.</w:t>
      </w:r>
    </w:p>
    <w:p w14:paraId="3E12BFD9" w14:textId="77777777" w:rsidR="00930291" w:rsidRPr="00087DF9" w:rsidRDefault="00930291" w:rsidP="00087DF9">
      <w:pPr>
        <w:shd w:val="clear" w:color="auto" w:fill="FFFFFF"/>
        <w:jc w:val="both"/>
        <w:rPr>
          <w:rFonts w:ascii="Arial" w:hAnsi="Arial" w:cs="Arial"/>
          <w:i/>
          <w:iCs/>
          <w:color w:val="3C3C3C"/>
          <w:sz w:val="32"/>
          <w:szCs w:val="32"/>
        </w:rPr>
      </w:pPr>
    </w:p>
    <w:p w14:paraId="58CD3314" w14:textId="4F1546C8" w:rsidR="00087DF9" w:rsidRPr="00087DF9" w:rsidRDefault="00087DF9" w:rsidP="00087DF9">
      <w:pPr>
        <w:shd w:val="clear" w:color="auto" w:fill="FFFFFF"/>
        <w:jc w:val="both"/>
        <w:rPr>
          <w:rFonts w:ascii="Arial" w:hAnsi="Arial" w:cs="Arial"/>
          <w:i/>
          <w:iCs/>
          <w:color w:val="3C3C3C"/>
          <w:sz w:val="32"/>
          <w:szCs w:val="32"/>
        </w:rPr>
      </w:pPr>
      <w:r w:rsidRPr="00087DF9">
        <w:rPr>
          <w:rFonts w:ascii="Arial" w:hAnsi="Arial" w:cs="Arial"/>
          <w:i/>
          <w:iCs/>
          <w:color w:val="3C3C3C"/>
          <w:sz w:val="32"/>
          <w:szCs w:val="32"/>
        </w:rPr>
        <w:t>Si l'organe délibérant ne s'est pas prononcé dans le délai prescrit, ou si la délibération prise ne comporte pas de mesures de redressement jugées suffisantes par la chambre régionale des comptes, qui se prononce sur ce point dans un délai de quinze jours à partir de la transmission de la nouvelle délibération, le budget est réglé et rendu exécutoire par le représentant de l'</w:t>
      </w:r>
      <w:r w:rsidR="00895E66" w:rsidRPr="00930291">
        <w:rPr>
          <w:rFonts w:ascii="Arial" w:hAnsi="Arial" w:cs="Arial"/>
          <w:i/>
          <w:iCs/>
          <w:color w:val="3C3C3C"/>
          <w:sz w:val="32"/>
          <w:szCs w:val="32"/>
        </w:rPr>
        <w:t>É</w:t>
      </w:r>
      <w:r w:rsidRPr="00087DF9">
        <w:rPr>
          <w:rFonts w:ascii="Arial" w:hAnsi="Arial" w:cs="Arial"/>
          <w:i/>
          <w:iCs/>
          <w:color w:val="3C3C3C"/>
          <w:sz w:val="32"/>
          <w:szCs w:val="32"/>
        </w:rPr>
        <w:t>tat dans le département. Si celui-ci s'écarte des propositions formulées par la chambre régionale des comptes, il assortit sa décision d'une motivation explicite.</w:t>
      </w:r>
    </w:p>
    <w:p w14:paraId="7E345399" w14:textId="38780AE5" w:rsidR="002D4C13" w:rsidRDefault="002D4C13" w:rsidP="00137EAA">
      <w:pPr>
        <w:jc w:val="both"/>
        <w:rPr>
          <w:sz w:val="32"/>
          <w:szCs w:val="32"/>
        </w:rPr>
      </w:pPr>
    </w:p>
    <w:p w14:paraId="7046C5D6" w14:textId="45D460E8" w:rsidR="002D4C13" w:rsidRDefault="003C1C5E" w:rsidP="00137EAA">
      <w:pPr>
        <w:jc w:val="both"/>
        <w:rPr>
          <w:sz w:val="32"/>
          <w:szCs w:val="32"/>
        </w:rPr>
      </w:pPr>
      <w:r>
        <w:rPr>
          <w:sz w:val="32"/>
          <w:szCs w:val="32"/>
        </w:rPr>
        <w:t>a)</w:t>
      </w:r>
      <w:r w:rsidR="002D4C13">
        <w:rPr>
          <w:sz w:val="32"/>
          <w:szCs w:val="32"/>
        </w:rPr>
        <w:t xml:space="preserve"> la phase de conciliation </w:t>
      </w:r>
    </w:p>
    <w:p w14:paraId="34246699" w14:textId="7664CCA8" w:rsidR="00F435CB" w:rsidRDefault="00F435CB" w:rsidP="00137EAA">
      <w:pPr>
        <w:jc w:val="both"/>
        <w:rPr>
          <w:sz w:val="32"/>
          <w:szCs w:val="32"/>
        </w:rPr>
      </w:pPr>
      <w:r>
        <w:rPr>
          <w:sz w:val="32"/>
          <w:szCs w:val="32"/>
        </w:rPr>
        <w:t xml:space="preserve">La délibération budgétaire est transmise au préfet et le préfet vérifie que les 3 conditions légales de l’ER sont remplies. S’il constate qu’il y a un problème car le budget a été voté en déséquilibre, il saisit la CRC dans le délai d’un mois. Puis la CRC doit rendre un avis sur la situation de la CT : cet avis préconise des </w:t>
      </w:r>
      <w:r>
        <w:rPr>
          <w:sz w:val="32"/>
          <w:szCs w:val="32"/>
        </w:rPr>
        <w:lastRenderedPageBreak/>
        <w:t xml:space="preserve">solutions. Puis la CT. Doit délibérer dans un nouveau délai d’un mois. En général le problème est réglé de cette façon dans 80% des cas. </w:t>
      </w:r>
    </w:p>
    <w:p w14:paraId="4A788811" w14:textId="0D08DA88" w:rsidR="002D4C13" w:rsidRDefault="002D4C13" w:rsidP="00137EAA">
      <w:pPr>
        <w:jc w:val="both"/>
        <w:rPr>
          <w:sz w:val="32"/>
          <w:szCs w:val="32"/>
        </w:rPr>
      </w:pPr>
    </w:p>
    <w:p w14:paraId="27B44B88" w14:textId="1739ADC9" w:rsidR="002D4C13" w:rsidRDefault="003C1C5E" w:rsidP="00137EAA">
      <w:pPr>
        <w:jc w:val="both"/>
        <w:rPr>
          <w:sz w:val="32"/>
          <w:szCs w:val="32"/>
        </w:rPr>
      </w:pPr>
      <w:r>
        <w:rPr>
          <w:sz w:val="32"/>
          <w:szCs w:val="32"/>
        </w:rPr>
        <w:t>b)</w:t>
      </w:r>
      <w:r w:rsidR="002D4C13">
        <w:rPr>
          <w:sz w:val="32"/>
          <w:szCs w:val="32"/>
        </w:rPr>
        <w:t xml:space="preserve"> la phase contraignante</w:t>
      </w:r>
    </w:p>
    <w:p w14:paraId="337CB5E9" w14:textId="4DDAF325" w:rsidR="00F435CB" w:rsidRDefault="00F435CB" w:rsidP="00137EAA">
      <w:pPr>
        <w:jc w:val="both"/>
        <w:rPr>
          <w:sz w:val="32"/>
          <w:szCs w:val="32"/>
        </w:rPr>
      </w:pPr>
      <w:r>
        <w:rPr>
          <w:sz w:val="32"/>
          <w:szCs w:val="32"/>
        </w:rPr>
        <w:t xml:space="preserve">Si la CT ne délibère pas ou si la délibération ne permet pas d’équilibrer le </w:t>
      </w:r>
      <w:proofErr w:type="gramStart"/>
      <w:r>
        <w:rPr>
          <w:sz w:val="32"/>
          <w:szCs w:val="32"/>
        </w:rPr>
        <w:t>budget,  la</w:t>
      </w:r>
      <w:proofErr w:type="gramEnd"/>
      <w:r>
        <w:rPr>
          <w:sz w:val="32"/>
          <w:szCs w:val="32"/>
        </w:rPr>
        <w:t xml:space="preserve"> CRC prend un avis de 2</w:t>
      </w:r>
      <w:r w:rsidRPr="00F435CB">
        <w:rPr>
          <w:sz w:val="32"/>
          <w:szCs w:val="32"/>
          <w:vertAlign w:val="superscript"/>
        </w:rPr>
        <w:t>ème</w:t>
      </w:r>
      <w:r>
        <w:rPr>
          <w:sz w:val="32"/>
          <w:szCs w:val="32"/>
        </w:rPr>
        <w:t xml:space="preserve"> stade dans les 15 jours et demande au préfet de régler le budget. Dans ce cas, c’est le préfet qui va régler le budget par un arrêté préfectoral. </w:t>
      </w:r>
    </w:p>
    <w:p w14:paraId="00FCD9F2" w14:textId="79DF297F" w:rsidR="00F435CB" w:rsidRDefault="00F435CB" w:rsidP="00137EAA">
      <w:pPr>
        <w:jc w:val="both"/>
        <w:rPr>
          <w:sz w:val="32"/>
          <w:szCs w:val="32"/>
        </w:rPr>
      </w:pPr>
      <w:r>
        <w:rPr>
          <w:sz w:val="32"/>
          <w:szCs w:val="32"/>
        </w:rPr>
        <w:t xml:space="preserve">René CHAPUS qualifie le pouvoir du préfet de pouvoir de substitution d’action. </w:t>
      </w:r>
    </w:p>
    <w:p w14:paraId="434794DC" w14:textId="6CBF9031" w:rsidR="002D4C13" w:rsidRDefault="002D4C13" w:rsidP="00137EAA">
      <w:pPr>
        <w:jc w:val="both"/>
        <w:rPr>
          <w:sz w:val="32"/>
          <w:szCs w:val="32"/>
        </w:rPr>
      </w:pPr>
    </w:p>
    <w:p w14:paraId="0C0BA9F4" w14:textId="3683BCC0" w:rsidR="00C6385D" w:rsidRDefault="00C6385D" w:rsidP="00137EAA">
      <w:pPr>
        <w:jc w:val="both"/>
        <w:rPr>
          <w:sz w:val="32"/>
          <w:szCs w:val="32"/>
        </w:rPr>
      </w:pPr>
    </w:p>
    <w:p w14:paraId="76ECD3AF" w14:textId="77777777" w:rsidR="00C6385D" w:rsidRDefault="00C6385D" w:rsidP="00137EAA">
      <w:pPr>
        <w:jc w:val="both"/>
        <w:rPr>
          <w:sz w:val="32"/>
          <w:szCs w:val="32"/>
        </w:rPr>
      </w:pPr>
    </w:p>
    <w:p w14:paraId="6176F28D" w14:textId="55B7993F" w:rsidR="002D4C13" w:rsidRDefault="003C1C5E" w:rsidP="00137EAA">
      <w:pPr>
        <w:jc w:val="both"/>
        <w:rPr>
          <w:b/>
          <w:bCs/>
          <w:sz w:val="32"/>
          <w:szCs w:val="32"/>
        </w:rPr>
      </w:pPr>
      <w:r>
        <w:rPr>
          <w:b/>
          <w:bCs/>
          <w:sz w:val="32"/>
          <w:szCs w:val="32"/>
        </w:rPr>
        <w:t>§2</w:t>
      </w:r>
      <w:r w:rsidR="002D4C13" w:rsidRPr="002D4C13">
        <w:rPr>
          <w:b/>
          <w:bCs/>
          <w:sz w:val="32"/>
          <w:szCs w:val="32"/>
        </w:rPr>
        <w:t xml:space="preserve"> La procédure de contrôle du déficit du CA</w:t>
      </w:r>
    </w:p>
    <w:p w14:paraId="76437B1F" w14:textId="15D73A51" w:rsidR="00895E66" w:rsidRDefault="00895E66" w:rsidP="00137EAA">
      <w:pPr>
        <w:jc w:val="both"/>
        <w:rPr>
          <w:b/>
          <w:bCs/>
          <w:sz w:val="32"/>
          <w:szCs w:val="32"/>
        </w:rPr>
      </w:pPr>
    </w:p>
    <w:p w14:paraId="4D094567" w14:textId="77777777" w:rsidR="00895E66" w:rsidRDefault="00895E66" w:rsidP="00895E66">
      <w:pPr>
        <w:pStyle w:val="Titre2"/>
        <w:shd w:val="clear" w:color="auto" w:fill="FFFFFF"/>
        <w:spacing w:before="0" w:beforeAutospacing="0" w:after="120" w:afterAutospacing="0"/>
        <w:rPr>
          <w:rFonts w:ascii="Arial" w:hAnsi="Arial" w:cs="Arial"/>
          <w:color w:val="4A5E81"/>
          <w:sz w:val="21"/>
          <w:szCs w:val="21"/>
        </w:rPr>
      </w:pPr>
      <w:r>
        <w:rPr>
          <w:rFonts w:ascii="Arial" w:hAnsi="Arial" w:cs="Arial"/>
          <w:color w:val="4A5E81"/>
          <w:sz w:val="21"/>
          <w:szCs w:val="21"/>
        </w:rPr>
        <w:t>Article L1612-14</w:t>
      </w:r>
    </w:p>
    <w:p w14:paraId="786830C1" w14:textId="7B6E12DD" w:rsidR="00895E66" w:rsidRPr="00930291" w:rsidRDefault="00895E66" w:rsidP="00895E66">
      <w:pPr>
        <w:shd w:val="clear" w:color="auto" w:fill="FFFFFF"/>
        <w:jc w:val="both"/>
        <w:rPr>
          <w:rFonts w:ascii="Arial" w:hAnsi="Arial" w:cs="Arial"/>
          <w:i/>
          <w:iCs/>
          <w:color w:val="3C3C3C"/>
          <w:sz w:val="32"/>
          <w:szCs w:val="32"/>
        </w:rPr>
      </w:pPr>
      <w:r w:rsidRPr="00930291">
        <w:rPr>
          <w:rFonts w:ascii="Arial" w:hAnsi="Arial" w:cs="Arial"/>
          <w:i/>
          <w:iCs/>
          <w:color w:val="3C3C3C"/>
          <w:sz w:val="32"/>
          <w:szCs w:val="32"/>
        </w:rPr>
        <w:t xml:space="preserve">Lorsque l'arrêté des comptes des collectivités territoriales fait apparaître dans l'exécution du budget, </w:t>
      </w:r>
      <w:r w:rsidRPr="002034EB">
        <w:rPr>
          <w:rFonts w:ascii="Arial" w:hAnsi="Arial" w:cs="Arial"/>
          <w:i/>
          <w:iCs/>
          <w:color w:val="3C3C3C"/>
          <w:sz w:val="32"/>
          <w:szCs w:val="32"/>
          <w:u w:val="single"/>
        </w:rPr>
        <w:t>après vérification de la sincérité des inscriptions de recettes et de dépenses</w:t>
      </w:r>
      <w:r w:rsidRPr="00930291">
        <w:rPr>
          <w:rFonts w:ascii="Arial" w:hAnsi="Arial" w:cs="Arial"/>
          <w:i/>
          <w:iCs/>
          <w:color w:val="3C3C3C"/>
          <w:sz w:val="32"/>
          <w:szCs w:val="32"/>
        </w:rPr>
        <w:t>, un déficit égal ou supérieur à 10 % des recettes de la section de fonctionnement s'il s'agit d'une commune de moins de 20 000 habitants et à 5 % dans les autres cas, la chambre régionale des comptes, saisie par le représentant de l'État, propose à la collectivité territoriale les mesures nécessaires au rétablissement de l'équilibre budgétaire, dans le délai d'un mois à compter de cette saisine.</w:t>
      </w:r>
    </w:p>
    <w:p w14:paraId="7CE4F82F" w14:textId="77777777" w:rsidR="00895E66" w:rsidRPr="002D4C13" w:rsidRDefault="00895E66" w:rsidP="00137EAA">
      <w:pPr>
        <w:jc w:val="both"/>
        <w:rPr>
          <w:b/>
          <w:bCs/>
          <w:sz w:val="32"/>
          <w:szCs w:val="32"/>
        </w:rPr>
      </w:pPr>
    </w:p>
    <w:p w14:paraId="7C4C3410" w14:textId="43FD7C89" w:rsidR="002D4C13" w:rsidRDefault="002034EB" w:rsidP="00137EAA">
      <w:pPr>
        <w:jc w:val="both"/>
        <w:rPr>
          <w:sz w:val="32"/>
          <w:szCs w:val="32"/>
        </w:rPr>
      </w:pPr>
      <w:r>
        <w:rPr>
          <w:sz w:val="32"/>
          <w:szCs w:val="32"/>
        </w:rPr>
        <w:t>a)</w:t>
      </w:r>
      <w:r w:rsidR="002D4C13">
        <w:rPr>
          <w:sz w:val="32"/>
          <w:szCs w:val="32"/>
        </w:rPr>
        <w:t xml:space="preserve"> Contrôle de la sincérité du CA</w:t>
      </w:r>
    </w:p>
    <w:p w14:paraId="40F88273" w14:textId="3CA3A805" w:rsidR="00F435CB" w:rsidRDefault="00F435CB" w:rsidP="00137EAA">
      <w:pPr>
        <w:jc w:val="both"/>
        <w:rPr>
          <w:sz w:val="32"/>
          <w:szCs w:val="32"/>
        </w:rPr>
      </w:pPr>
      <w:r>
        <w:rPr>
          <w:sz w:val="32"/>
          <w:szCs w:val="32"/>
        </w:rPr>
        <w:t>Lorsque le préfet reçoit le CA, il vérifie la sincérité des R et des D</w:t>
      </w:r>
    </w:p>
    <w:p w14:paraId="6D719DFB" w14:textId="59C4E930" w:rsidR="00F435CB" w:rsidRDefault="00F435CB" w:rsidP="00137EAA">
      <w:pPr>
        <w:jc w:val="both"/>
        <w:rPr>
          <w:sz w:val="32"/>
          <w:szCs w:val="32"/>
        </w:rPr>
      </w:pPr>
      <w:r>
        <w:rPr>
          <w:sz w:val="32"/>
          <w:szCs w:val="32"/>
        </w:rPr>
        <w:t>En cas de besoin, il demande des explications et justifications</w:t>
      </w:r>
    </w:p>
    <w:p w14:paraId="01EAF788" w14:textId="2E26BC67" w:rsidR="002D4C13" w:rsidRDefault="002D4C13" w:rsidP="00137EAA">
      <w:pPr>
        <w:jc w:val="both"/>
        <w:rPr>
          <w:sz w:val="32"/>
          <w:szCs w:val="32"/>
        </w:rPr>
      </w:pPr>
    </w:p>
    <w:p w14:paraId="1F168467" w14:textId="56E70A3A" w:rsidR="002D4C13" w:rsidRDefault="002034EB" w:rsidP="00137EAA">
      <w:pPr>
        <w:jc w:val="both"/>
        <w:rPr>
          <w:sz w:val="32"/>
          <w:szCs w:val="32"/>
        </w:rPr>
      </w:pPr>
      <w:r>
        <w:rPr>
          <w:sz w:val="32"/>
          <w:szCs w:val="32"/>
        </w:rPr>
        <w:t>b)</w:t>
      </w:r>
      <w:r w:rsidR="002D4C13">
        <w:rPr>
          <w:sz w:val="32"/>
          <w:szCs w:val="32"/>
        </w:rPr>
        <w:t xml:space="preserve"> Contrôle du respect des seuils du CA</w:t>
      </w:r>
    </w:p>
    <w:p w14:paraId="5BDEB3EA" w14:textId="11870460" w:rsidR="00C874E9" w:rsidRDefault="00C874E9" w:rsidP="00137EAA">
      <w:pPr>
        <w:jc w:val="both"/>
        <w:rPr>
          <w:sz w:val="32"/>
          <w:szCs w:val="32"/>
        </w:rPr>
      </w:pPr>
      <w:r>
        <w:rPr>
          <w:sz w:val="32"/>
          <w:szCs w:val="32"/>
        </w:rPr>
        <w:t xml:space="preserve">Si les seuils sont franchis (5% ou 10% selon les cas), le préfet saisit la CRC (sans délai) et la CRC formule un avis dans le délai d’un mois. Cet avis va constater le franchissement du seuil de déficit. Comment est calculé ce déficit ? </w:t>
      </w:r>
    </w:p>
    <w:p w14:paraId="03BF94B2" w14:textId="583EE850" w:rsidR="00C874E9" w:rsidRDefault="00C874E9" w:rsidP="00137EAA">
      <w:pPr>
        <w:jc w:val="both"/>
        <w:rPr>
          <w:sz w:val="32"/>
          <w:szCs w:val="32"/>
        </w:rPr>
      </w:pPr>
      <w:r>
        <w:rPr>
          <w:sz w:val="32"/>
          <w:szCs w:val="32"/>
        </w:rPr>
        <w:t>C’est le déficit de SF + SI comparé aux RRF.</w:t>
      </w:r>
    </w:p>
    <w:p w14:paraId="00632D24" w14:textId="018C82ED" w:rsidR="00C874E9" w:rsidRDefault="00C874E9" w:rsidP="00137EAA">
      <w:pPr>
        <w:jc w:val="both"/>
        <w:rPr>
          <w:sz w:val="32"/>
          <w:szCs w:val="32"/>
        </w:rPr>
      </w:pPr>
      <w:r>
        <w:rPr>
          <w:sz w:val="32"/>
          <w:szCs w:val="32"/>
        </w:rPr>
        <w:t xml:space="preserve">Les RRF = recettes fiscales + dotations de l’État + produits du domaine + produits des redevances pour services rendus (cantine, garderies et autres). </w:t>
      </w:r>
    </w:p>
    <w:p w14:paraId="068765E3" w14:textId="4DA7220C" w:rsidR="00C874E9" w:rsidRDefault="00C874E9" w:rsidP="00137EAA">
      <w:pPr>
        <w:jc w:val="both"/>
        <w:rPr>
          <w:sz w:val="32"/>
          <w:szCs w:val="32"/>
        </w:rPr>
      </w:pPr>
      <w:r>
        <w:rPr>
          <w:sz w:val="32"/>
          <w:szCs w:val="32"/>
        </w:rPr>
        <w:t>L’avis de la CRC fera alors un plan de redressement sur plusieurs années.</w:t>
      </w:r>
    </w:p>
    <w:p w14:paraId="1FD20F69" w14:textId="7BC2A1F7" w:rsidR="00C874E9" w:rsidRDefault="00C874E9" w:rsidP="00137EAA">
      <w:pPr>
        <w:jc w:val="both"/>
        <w:rPr>
          <w:sz w:val="32"/>
          <w:szCs w:val="32"/>
        </w:rPr>
      </w:pPr>
      <w:r>
        <w:rPr>
          <w:sz w:val="32"/>
          <w:szCs w:val="32"/>
        </w:rPr>
        <w:t xml:space="preserve">Pendant toutes ces années, la CT sera placée sous le contrôle de la CRC. </w:t>
      </w:r>
    </w:p>
    <w:p w14:paraId="74CC86B3" w14:textId="1D3BBF78" w:rsidR="00C874E9" w:rsidRDefault="00C874E9" w:rsidP="00137EAA">
      <w:pPr>
        <w:jc w:val="both"/>
        <w:rPr>
          <w:sz w:val="32"/>
          <w:szCs w:val="32"/>
        </w:rPr>
      </w:pPr>
      <w:r>
        <w:rPr>
          <w:sz w:val="32"/>
          <w:szCs w:val="32"/>
        </w:rPr>
        <w:t xml:space="preserve">Ceci signifie qu’en cas de franchissement des seuils, cela pourra avoir des conséquences pour plusieurs années. </w:t>
      </w:r>
    </w:p>
    <w:p w14:paraId="1D62543C" w14:textId="3E62C625" w:rsidR="00137EAA" w:rsidRDefault="00137EAA" w:rsidP="00137EAA">
      <w:pPr>
        <w:jc w:val="center"/>
        <w:rPr>
          <w:sz w:val="32"/>
          <w:szCs w:val="32"/>
        </w:rPr>
      </w:pPr>
    </w:p>
    <w:p w14:paraId="6E583F7F" w14:textId="121E32B3" w:rsidR="002D4C13" w:rsidRDefault="002D4C13" w:rsidP="00137EAA">
      <w:pPr>
        <w:jc w:val="center"/>
        <w:rPr>
          <w:sz w:val="32"/>
          <w:szCs w:val="32"/>
        </w:rPr>
      </w:pPr>
    </w:p>
    <w:p w14:paraId="2B8BB7FF" w14:textId="7681DAC7" w:rsidR="00C4307F" w:rsidRDefault="00C4307F" w:rsidP="00137EAA">
      <w:pPr>
        <w:jc w:val="center"/>
        <w:rPr>
          <w:sz w:val="32"/>
          <w:szCs w:val="32"/>
        </w:rPr>
      </w:pPr>
    </w:p>
    <w:p w14:paraId="6EB30E62" w14:textId="663BBCCF" w:rsidR="00C6385D" w:rsidRDefault="00C6385D" w:rsidP="00137EAA">
      <w:pPr>
        <w:jc w:val="center"/>
        <w:rPr>
          <w:sz w:val="32"/>
          <w:szCs w:val="32"/>
        </w:rPr>
      </w:pPr>
    </w:p>
    <w:p w14:paraId="1CC7511B" w14:textId="257F2E9C" w:rsidR="00C6385D" w:rsidRDefault="00C6385D" w:rsidP="00137EAA">
      <w:pPr>
        <w:jc w:val="center"/>
        <w:rPr>
          <w:sz w:val="32"/>
          <w:szCs w:val="32"/>
        </w:rPr>
      </w:pPr>
    </w:p>
    <w:p w14:paraId="1B2BDA2F" w14:textId="77777777" w:rsidR="00C6385D" w:rsidRDefault="00C6385D" w:rsidP="00137EAA">
      <w:pPr>
        <w:jc w:val="center"/>
        <w:rPr>
          <w:sz w:val="32"/>
          <w:szCs w:val="32"/>
        </w:rPr>
      </w:pPr>
    </w:p>
    <w:p w14:paraId="7091BC39" w14:textId="77777777" w:rsidR="00C4307F" w:rsidRDefault="00C4307F" w:rsidP="00137EAA">
      <w:pPr>
        <w:jc w:val="center"/>
        <w:rPr>
          <w:sz w:val="32"/>
          <w:szCs w:val="32"/>
        </w:rPr>
      </w:pPr>
    </w:p>
    <w:p w14:paraId="12EB0F67" w14:textId="77777777" w:rsidR="003C1C5E" w:rsidRDefault="003C1C5E" w:rsidP="002D4C13">
      <w:pPr>
        <w:jc w:val="both"/>
        <w:rPr>
          <w:b/>
          <w:bCs/>
          <w:sz w:val="48"/>
          <w:szCs w:val="48"/>
        </w:rPr>
      </w:pPr>
      <w:r>
        <w:rPr>
          <w:b/>
          <w:bCs/>
          <w:sz w:val="48"/>
          <w:szCs w:val="48"/>
        </w:rPr>
        <w:t>SOUS SECTION</w:t>
      </w:r>
      <w:r w:rsidR="002D4C13" w:rsidRPr="008C6636">
        <w:rPr>
          <w:b/>
          <w:bCs/>
          <w:sz w:val="48"/>
          <w:szCs w:val="48"/>
        </w:rPr>
        <w:t xml:space="preserve"> 2 : </w:t>
      </w:r>
    </w:p>
    <w:p w14:paraId="00C4E56D" w14:textId="28244801" w:rsidR="002D4C13" w:rsidRPr="008C6636" w:rsidRDefault="002D4C13" w:rsidP="002D4C13">
      <w:pPr>
        <w:jc w:val="both"/>
        <w:rPr>
          <w:b/>
          <w:bCs/>
          <w:sz w:val="48"/>
          <w:szCs w:val="48"/>
        </w:rPr>
      </w:pPr>
      <w:r w:rsidRPr="008C6636">
        <w:rPr>
          <w:b/>
          <w:bCs/>
          <w:sz w:val="48"/>
          <w:szCs w:val="48"/>
        </w:rPr>
        <w:t>L’ÉQUILIBRE DU BUDGET ANNEXE</w:t>
      </w:r>
    </w:p>
    <w:p w14:paraId="2BD0A844" w14:textId="279C1DDE" w:rsidR="00F76E3C" w:rsidRDefault="00F76E3C" w:rsidP="002D4C13">
      <w:pPr>
        <w:jc w:val="both"/>
        <w:rPr>
          <w:sz w:val="32"/>
          <w:szCs w:val="32"/>
        </w:rPr>
      </w:pPr>
    </w:p>
    <w:p w14:paraId="2B3290F0" w14:textId="3B268B53" w:rsidR="00E4346B" w:rsidRDefault="00E4346B" w:rsidP="002D4C13">
      <w:pPr>
        <w:jc w:val="both"/>
        <w:rPr>
          <w:sz w:val="32"/>
          <w:szCs w:val="32"/>
        </w:rPr>
      </w:pPr>
      <w:r>
        <w:rPr>
          <w:sz w:val="32"/>
          <w:szCs w:val="32"/>
        </w:rPr>
        <w:t>Importance des BA au sein de l’ensemble des Finances locales</w:t>
      </w:r>
      <w:r w:rsidR="00C874E9">
        <w:rPr>
          <w:sz w:val="32"/>
          <w:szCs w:val="32"/>
        </w:rPr>
        <w:t xml:space="preserve">, environ 9-10% du total des Finances locales. </w:t>
      </w:r>
    </w:p>
    <w:p w14:paraId="4003990E" w14:textId="430A71C8" w:rsidR="00E4346B" w:rsidRDefault="00E4346B" w:rsidP="002D4C13">
      <w:pPr>
        <w:jc w:val="both"/>
        <w:rPr>
          <w:sz w:val="32"/>
          <w:szCs w:val="32"/>
        </w:rPr>
      </w:pPr>
      <w:r>
        <w:rPr>
          <w:sz w:val="32"/>
          <w:szCs w:val="32"/>
        </w:rPr>
        <w:t>Importance au sein des finances des EPCI à fiscalité propre</w:t>
      </w:r>
      <w:r w:rsidR="00C874E9">
        <w:rPr>
          <w:sz w:val="32"/>
          <w:szCs w:val="32"/>
        </w:rPr>
        <w:t xml:space="preserve">, </w:t>
      </w:r>
      <w:proofErr w:type="gramStart"/>
      <w:r w:rsidR="00C874E9">
        <w:rPr>
          <w:sz w:val="32"/>
          <w:szCs w:val="32"/>
        </w:rPr>
        <w:t>ici ,</w:t>
      </w:r>
      <w:proofErr w:type="gramEnd"/>
      <w:r w:rsidR="00C874E9">
        <w:rPr>
          <w:sz w:val="32"/>
          <w:szCs w:val="32"/>
        </w:rPr>
        <w:t xml:space="preserve"> le niveau passe à 49-50%</w:t>
      </w:r>
    </w:p>
    <w:p w14:paraId="64B9D5ED" w14:textId="77777777" w:rsidR="00E4346B" w:rsidRDefault="00E4346B" w:rsidP="002D4C13">
      <w:pPr>
        <w:jc w:val="both"/>
        <w:rPr>
          <w:sz w:val="32"/>
          <w:szCs w:val="32"/>
        </w:rPr>
      </w:pPr>
    </w:p>
    <w:p w14:paraId="24E17DD2" w14:textId="6397BCDD" w:rsidR="00F76E3C" w:rsidRPr="00C4307F" w:rsidRDefault="004621E6" w:rsidP="002D4C13">
      <w:pPr>
        <w:jc w:val="both"/>
        <w:rPr>
          <w:b/>
          <w:bCs/>
          <w:sz w:val="32"/>
          <w:szCs w:val="32"/>
          <w:u w:val="single"/>
        </w:rPr>
      </w:pPr>
      <w:r>
        <w:rPr>
          <w:b/>
          <w:bCs/>
          <w:sz w:val="32"/>
          <w:szCs w:val="32"/>
          <w:u w:val="single"/>
        </w:rPr>
        <w:t>A/</w:t>
      </w:r>
      <w:r w:rsidR="00F76E3C" w:rsidRPr="00C4307F">
        <w:rPr>
          <w:b/>
          <w:bCs/>
          <w:sz w:val="32"/>
          <w:szCs w:val="32"/>
          <w:u w:val="single"/>
        </w:rPr>
        <w:t xml:space="preserve"> Les justifications d</w:t>
      </w:r>
      <w:r w:rsidR="008C6636" w:rsidRPr="00C4307F">
        <w:rPr>
          <w:b/>
          <w:bCs/>
          <w:sz w:val="32"/>
          <w:szCs w:val="32"/>
          <w:u w:val="single"/>
        </w:rPr>
        <w:t>u principe d</w:t>
      </w:r>
      <w:r w:rsidR="00F76E3C" w:rsidRPr="00C4307F">
        <w:rPr>
          <w:b/>
          <w:bCs/>
          <w:sz w:val="32"/>
          <w:szCs w:val="32"/>
          <w:u w:val="single"/>
        </w:rPr>
        <w:t>e l’équilibre du BA</w:t>
      </w:r>
    </w:p>
    <w:p w14:paraId="0C701FB1" w14:textId="447C7D4D" w:rsidR="002942FF" w:rsidRDefault="002942FF" w:rsidP="002D4C13">
      <w:pPr>
        <w:jc w:val="both"/>
        <w:rPr>
          <w:sz w:val="32"/>
          <w:szCs w:val="32"/>
        </w:rPr>
      </w:pPr>
    </w:p>
    <w:p w14:paraId="04EEBE8C" w14:textId="34311248" w:rsidR="002942FF" w:rsidRPr="002942FF" w:rsidRDefault="002942FF" w:rsidP="002942FF">
      <w:pPr>
        <w:shd w:val="clear" w:color="auto" w:fill="FFFFFF"/>
        <w:spacing w:after="120"/>
        <w:jc w:val="both"/>
        <w:outlineLvl w:val="1"/>
        <w:rPr>
          <w:rFonts w:ascii="Arial" w:hAnsi="Arial" w:cs="Arial"/>
          <w:b/>
          <w:bCs/>
          <w:color w:val="4A5E81"/>
          <w:sz w:val="32"/>
          <w:szCs w:val="32"/>
        </w:rPr>
      </w:pPr>
      <w:r w:rsidRPr="002942FF">
        <w:rPr>
          <w:rFonts w:ascii="Arial" w:hAnsi="Arial" w:cs="Arial"/>
          <w:b/>
          <w:bCs/>
          <w:color w:val="4A5E81"/>
          <w:sz w:val="32"/>
          <w:szCs w:val="32"/>
        </w:rPr>
        <w:t>Article L2224-1</w:t>
      </w:r>
      <w:r w:rsidR="00087DF9">
        <w:rPr>
          <w:rFonts w:ascii="Arial" w:hAnsi="Arial" w:cs="Arial"/>
          <w:b/>
          <w:bCs/>
          <w:color w:val="4A5E81"/>
          <w:sz w:val="32"/>
          <w:szCs w:val="32"/>
        </w:rPr>
        <w:t xml:space="preserve"> </w:t>
      </w:r>
      <w:r w:rsidR="009410BC">
        <w:rPr>
          <w:rFonts w:ascii="Arial" w:hAnsi="Arial" w:cs="Arial"/>
          <w:b/>
          <w:bCs/>
          <w:color w:val="4A5E81"/>
          <w:sz w:val="32"/>
          <w:szCs w:val="32"/>
        </w:rPr>
        <w:t xml:space="preserve">de CGCT </w:t>
      </w:r>
      <w:r w:rsidR="00087DF9">
        <w:rPr>
          <w:rFonts w:ascii="Arial" w:hAnsi="Arial" w:cs="Arial"/>
          <w:b/>
          <w:bCs/>
          <w:color w:val="4A5E81"/>
          <w:sz w:val="32"/>
          <w:szCs w:val="32"/>
        </w:rPr>
        <w:t>reprenant l’article L.322-5 du Code des communes issu de la grande loi municipale de 1884</w:t>
      </w:r>
    </w:p>
    <w:p w14:paraId="5C6CBBAF" w14:textId="77777777" w:rsidR="002942FF" w:rsidRPr="002942FF" w:rsidRDefault="002942FF" w:rsidP="002942FF">
      <w:pPr>
        <w:shd w:val="clear" w:color="auto" w:fill="FFFFFF"/>
        <w:jc w:val="both"/>
        <w:rPr>
          <w:rFonts w:ascii="Arial" w:hAnsi="Arial" w:cs="Arial"/>
          <w:i/>
          <w:iCs/>
          <w:color w:val="3C3C3C"/>
          <w:sz w:val="32"/>
          <w:szCs w:val="32"/>
        </w:rPr>
      </w:pPr>
      <w:r w:rsidRPr="002942FF">
        <w:rPr>
          <w:rFonts w:ascii="Arial" w:hAnsi="Arial" w:cs="Arial"/>
          <w:i/>
          <w:iCs/>
          <w:color w:val="3C3C3C"/>
          <w:sz w:val="32"/>
          <w:szCs w:val="32"/>
        </w:rPr>
        <w:t>Les budgets des services publics à caractère industriel ou commercial exploités en régie, affermés ou concédés par les communes, doivent être équilibrés en recettes et en dépenses.</w:t>
      </w:r>
    </w:p>
    <w:p w14:paraId="76DFCF0E" w14:textId="3B2AD72E" w:rsidR="002942FF" w:rsidRDefault="002942FF" w:rsidP="002D4C13">
      <w:pPr>
        <w:jc w:val="both"/>
        <w:rPr>
          <w:sz w:val="32"/>
          <w:szCs w:val="32"/>
        </w:rPr>
      </w:pPr>
    </w:p>
    <w:p w14:paraId="758DE190" w14:textId="77777777" w:rsidR="00C4307F" w:rsidRDefault="00C4307F" w:rsidP="002D4C13">
      <w:pPr>
        <w:jc w:val="both"/>
        <w:rPr>
          <w:sz w:val="32"/>
          <w:szCs w:val="32"/>
        </w:rPr>
      </w:pPr>
    </w:p>
    <w:p w14:paraId="640EF90F" w14:textId="2D759136" w:rsidR="00F76E3C" w:rsidRDefault="00F76E3C" w:rsidP="002D4C13">
      <w:pPr>
        <w:jc w:val="both"/>
        <w:rPr>
          <w:sz w:val="32"/>
          <w:szCs w:val="32"/>
        </w:rPr>
      </w:pPr>
    </w:p>
    <w:p w14:paraId="12509984" w14:textId="0615DE04" w:rsidR="00F76E3C" w:rsidRDefault="004621E6" w:rsidP="002D4C13">
      <w:pPr>
        <w:jc w:val="both"/>
        <w:rPr>
          <w:b/>
          <w:bCs/>
          <w:sz w:val="32"/>
          <w:szCs w:val="32"/>
        </w:rPr>
      </w:pPr>
      <w:r>
        <w:rPr>
          <w:b/>
          <w:bCs/>
          <w:sz w:val="32"/>
          <w:szCs w:val="32"/>
        </w:rPr>
        <w:t>§1</w:t>
      </w:r>
      <w:r w:rsidR="00F76E3C" w:rsidRPr="00C4307F">
        <w:rPr>
          <w:b/>
          <w:bCs/>
          <w:sz w:val="32"/>
          <w:szCs w:val="32"/>
        </w:rPr>
        <w:t xml:space="preserve"> la logique de l’affectation des recettes au budget annexe</w:t>
      </w:r>
    </w:p>
    <w:p w14:paraId="4F94EE0F" w14:textId="3F89751E" w:rsidR="009410BC" w:rsidRDefault="009410BC" w:rsidP="002D4C13">
      <w:pPr>
        <w:jc w:val="both"/>
        <w:rPr>
          <w:sz w:val="32"/>
          <w:szCs w:val="32"/>
        </w:rPr>
      </w:pPr>
      <w:r w:rsidRPr="009410BC">
        <w:rPr>
          <w:sz w:val="32"/>
          <w:szCs w:val="32"/>
        </w:rPr>
        <w:t xml:space="preserve">Si on crée un budget annexe c’est pour affecter des recettes à l’exploitation d’un SPIC </w:t>
      </w:r>
    </w:p>
    <w:p w14:paraId="175EE581" w14:textId="6963EA24" w:rsidR="009410BC" w:rsidRDefault="009410BC" w:rsidP="002D4C13">
      <w:pPr>
        <w:jc w:val="both"/>
        <w:rPr>
          <w:sz w:val="32"/>
          <w:szCs w:val="32"/>
        </w:rPr>
      </w:pPr>
      <w:r>
        <w:rPr>
          <w:sz w:val="32"/>
          <w:szCs w:val="32"/>
        </w:rPr>
        <w:t>Recettes : redevances payées par les usagers</w:t>
      </w:r>
    </w:p>
    <w:p w14:paraId="391A55E6" w14:textId="5021E3F5" w:rsidR="009410BC" w:rsidRDefault="009410BC" w:rsidP="002D4C13">
      <w:pPr>
        <w:jc w:val="both"/>
        <w:rPr>
          <w:sz w:val="32"/>
          <w:szCs w:val="32"/>
        </w:rPr>
      </w:pPr>
      <w:r>
        <w:rPr>
          <w:sz w:val="32"/>
          <w:szCs w:val="32"/>
        </w:rPr>
        <w:t>Dépenses : charges d’exploitation</w:t>
      </w:r>
    </w:p>
    <w:p w14:paraId="3F3314A8" w14:textId="76754275" w:rsidR="009410BC" w:rsidRDefault="009410BC" w:rsidP="002D4C13">
      <w:pPr>
        <w:jc w:val="both"/>
        <w:rPr>
          <w:sz w:val="32"/>
          <w:szCs w:val="32"/>
        </w:rPr>
      </w:pPr>
      <w:r>
        <w:rPr>
          <w:sz w:val="32"/>
          <w:szCs w:val="32"/>
        </w:rPr>
        <w:t>Donc si les charges d’exploitation augmentent : on augmentera les tarifs</w:t>
      </w:r>
    </w:p>
    <w:p w14:paraId="0B837FF1" w14:textId="5E6E64A0" w:rsidR="009410BC" w:rsidRPr="009410BC" w:rsidRDefault="009410BC" w:rsidP="002D4C13">
      <w:pPr>
        <w:jc w:val="both"/>
        <w:rPr>
          <w:sz w:val="32"/>
          <w:szCs w:val="32"/>
        </w:rPr>
      </w:pPr>
      <w:r>
        <w:rPr>
          <w:sz w:val="32"/>
          <w:szCs w:val="32"/>
        </w:rPr>
        <w:t>Si elles baissent : on baissera les tarifs</w:t>
      </w:r>
    </w:p>
    <w:p w14:paraId="3713E227" w14:textId="77777777" w:rsidR="00C4307F" w:rsidRPr="00C4307F" w:rsidRDefault="00C4307F" w:rsidP="002D4C13">
      <w:pPr>
        <w:jc w:val="both"/>
        <w:rPr>
          <w:b/>
          <w:bCs/>
          <w:sz w:val="32"/>
          <w:szCs w:val="32"/>
        </w:rPr>
      </w:pPr>
    </w:p>
    <w:p w14:paraId="29946CE5" w14:textId="72EDDCF0" w:rsidR="00F76E3C" w:rsidRDefault="00F76E3C" w:rsidP="002D4C13">
      <w:pPr>
        <w:jc w:val="both"/>
        <w:rPr>
          <w:b/>
          <w:bCs/>
          <w:sz w:val="32"/>
          <w:szCs w:val="32"/>
        </w:rPr>
      </w:pPr>
    </w:p>
    <w:p w14:paraId="2A41D8E7" w14:textId="77777777" w:rsidR="00C4307F" w:rsidRPr="00C4307F" w:rsidRDefault="00C4307F" w:rsidP="002D4C13">
      <w:pPr>
        <w:jc w:val="both"/>
        <w:rPr>
          <w:b/>
          <w:bCs/>
          <w:sz w:val="32"/>
          <w:szCs w:val="32"/>
        </w:rPr>
      </w:pPr>
    </w:p>
    <w:p w14:paraId="48E2EF10" w14:textId="697E92E0" w:rsidR="00F76E3C" w:rsidRDefault="004621E6" w:rsidP="00C6385D">
      <w:pPr>
        <w:shd w:val="clear" w:color="auto" w:fill="FFFF00"/>
        <w:jc w:val="both"/>
        <w:rPr>
          <w:b/>
          <w:bCs/>
          <w:sz w:val="32"/>
          <w:szCs w:val="32"/>
        </w:rPr>
      </w:pPr>
      <w:r>
        <w:rPr>
          <w:b/>
          <w:bCs/>
          <w:sz w:val="32"/>
          <w:szCs w:val="32"/>
        </w:rPr>
        <w:t>§2</w:t>
      </w:r>
      <w:r w:rsidR="00F76E3C" w:rsidRPr="00C4307F">
        <w:rPr>
          <w:b/>
          <w:bCs/>
          <w:sz w:val="32"/>
          <w:szCs w:val="32"/>
        </w:rPr>
        <w:t xml:space="preserve"> la différence entre le contribuable et l’usager</w:t>
      </w:r>
      <w:r w:rsidR="00C6385D">
        <w:rPr>
          <w:b/>
          <w:bCs/>
          <w:sz w:val="32"/>
          <w:szCs w:val="32"/>
        </w:rPr>
        <w:t> : SCHÉMA</w:t>
      </w:r>
    </w:p>
    <w:p w14:paraId="4227757C" w14:textId="0A862694" w:rsidR="00C4307F" w:rsidRDefault="00C4307F" w:rsidP="002D4C13">
      <w:pPr>
        <w:jc w:val="both"/>
        <w:rPr>
          <w:b/>
          <w:bCs/>
          <w:sz w:val="32"/>
          <w:szCs w:val="32"/>
        </w:rPr>
      </w:pPr>
    </w:p>
    <w:p w14:paraId="5782C21F" w14:textId="3144B42D" w:rsidR="004621E6" w:rsidRPr="004621E6" w:rsidRDefault="004621E6" w:rsidP="002D4C13">
      <w:pPr>
        <w:jc w:val="both"/>
        <w:rPr>
          <w:sz w:val="32"/>
          <w:szCs w:val="32"/>
        </w:rPr>
      </w:pPr>
      <w:r w:rsidRPr="004621E6">
        <w:rPr>
          <w:sz w:val="32"/>
          <w:szCs w:val="32"/>
        </w:rPr>
        <w:t>Dans le budget principal, le financeur est le contribuable.</w:t>
      </w:r>
    </w:p>
    <w:p w14:paraId="33C0E629" w14:textId="2F907496" w:rsidR="004621E6" w:rsidRPr="004621E6" w:rsidRDefault="004621E6" w:rsidP="002D4C13">
      <w:pPr>
        <w:jc w:val="both"/>
        <w:rPr>
          <w:sz w:val="32"/>
          <w:szCs w:val="32"/>
        </w:rPr>
      </w:pPr>
      <w:r w:rsidRPr="004621E6">
        <w:rPr>
          <w:sz w:val="32"/>
          <w:szCs w:val="32"/>
        </w:rPr>
        <w:t xml:space="preserve">Dans le Budget annexe d’un SPIC, le financeur est l’usager. </w:t>
      </w:r>
    </w:p>
    <w:p w14:paraId="53D55CC2" w14:textId="11784A77" w:rsidR="004621E6" w:rsidRPr="004621E6" w:rsidRDefault="004621E6" w:rsidP="002D4C13">
      <w:pPr>
        <w:jc w:val="both"/>
        <w:rPr>
          <w:sz w:val="32"/>
          <w:szCs w:val="32"/>
        </w:rPr>
      </w:pPr>
      <w:r w:rsidRPr="004621E6">
        <w:rPr>
          <w:sz w:val="32"/>
          <w:szCs w:val="32"/>
        </w:rPr>
        <w:lastRenderedPageBreak/>
        <w:t xml:space="preserve">Par conséquent, chaque budget doit être équilibré ce qui interdit de verser une subvention d’équilibre du Budget principal vers le BA. Pourquoi ? tout simplement car si on a créé un BA c’est pour qu’il ait une autonomie financière et donc il doit se débrouiller seul. </w:t>
      </w:r>
    </w:p>
    <w:p w14:paraId="3FCB3CF2" w14:textId="77777777" w:rsidR="00C4307F" w:rsidRPr="00C4307F" w:rsidRDefault="00C4307F" w:rsidP="002D4C13">
      <w:pPr>
        <w:jc w:val="both"/>
        <w:rPr>
          <w:b/>
          <w:bCs/>
          <w:sz w:val="32"/>
          <w:szCs w:val="32"/>
        </w:rPr>
      </w:pPr>
    </w:p>
    <w:p w14:paraId="25D1A11A" w14:textId="761E1851" w:rsidR="008C6636" w:rsidRPr="00C4307F" w:rsidRDefault="008C6636" w:rsidP="002D4C13">
      <w:pPr>
        <w:jc w:val="both"/>
        <w:rPr>
          <w:b/>
          <w:bCs/>
          <w:sz w:val="32"/>
          <w:szCs w:val="32"/>
        </w:rPr>
      </w:pPr>
    </w:p>
    <w:p w14:paraId="7B97CC44" w14:textId="61B57CEB" w:rsidR="008C6636" w:rsidRDefault="004621E6" w:rsidP="002D4C13">
      <w:pPr>
        <w:jc w:val="both"/>
        <w:rPr>
          <w:b/>
          <w:bCs/>
          <w:sz w:val="32"/>
          <w:szCs w:val="32"/>
        </w:rPr>
      </w:pPr>
      <w:r>
        <w:rPr>
          <w:b/>
          <w:bCs/>
          <w:sz w:val="32"/>
          <w:szCs w:val="32"/>
        </w:rPr>
        <w:t>§3</w:t>
      </w:r>
      <w:r w:rsidR="008C6636" w:rsidRPr="00C4307F">
        <w:rPr>
          <w:b/>
          <w:bCs/>
          <w:sz w:val="32"/>
          <w:szCs w:val="32"/>
        </w:rPr>
        <w:t xml:space="preserve"> la sanction : annulation de la délibération par le TA</w:t>
      </w:r>
    </w:p>
    <w:p w14:paraId="5984F91E" w14:textId="77777777" w:rsidR="00C4307F" w:rsidRDefault="00C4307F" w:rsidP="002D4C13">
      <w:pPr>
        <w:jc w:val="both"/>
        <w:rPr>
          <w:b/>
          <w:bCs/>
          <w:sz w:val="32"/>
          <w:szCs w:val="32"/>
        </w:rPr>
      </w:pPr>
    </w:p>
    <w:p w14:paraId="7CBFAF57" w14:textId="449C0313" w:rsidR="00C4307F" w:rsidRPr="009410BC" w:rsidRDefault="009410BC" w:rsidP="009410BC">
      <w:pPr>
        <w:rPr>
          <w:sz w:val="32"/>
          <w:szCs w:val="32"/>
        </w:rPr>
      </w:pPr>
      <w:r w:rsidRPr="009410BC">
        <w:rPr>
          <w:sz w:val="32"/>
          <w:szCs w:val="32"/>
        </w:rPr>
        <w:t>Si une CT verse une subvention d’équilibre à un BA, que va-t-il se passer ?</w:t>
      </w:r>
    </w:p>
    <w:p w14:paraId="302EDBCD" w14:textId="59972FB8" w:rsidR="009410BC" w:rsidRPr="009410BC" w:rsidRDefault="009410BC" w:rsidP="009410BC">
      <w:pPr>
        <w:rPr>
          <w:sz w:val="32"/>
          <w:szCs w:val="32"/>
        </w:rPr>
      </w:pPr>
      <w:r w:rsidRPr="009410BC">
        <w:rPr>
          <w:sz w:val="32"/>
          <w:szCs w:val="32"/>
        </w:rPr>
        <w:t xml:space="preserve">Un contribuable isolé, ou une association de contribuables va saisir le TA. </w:t>
      </w:r>
    </w:p>
    <w:p w14:paraId="180E7E56" w14:textId="2DA7166D" w:rsidR="009410BC" w:rsidRDefault="009410BC" w:rsidP="009410BC">
      <w:pPr>
        <w:rPr>
          <w:sz w:val="32"/>
          <w:szCs w:val="32"/>
        </w:rPr>
      </w:pPr>
      <w:r w:rsidRPr="009410BC">
        <w:rPr>
          <w:sz w:val="32"/>
          <w:szCs w:val="32"/>
        </w:rPr>
        <w:t>Annulation de la délibération en ce qu’elle verse une subvention d’équilibre au BA.</w:t>
      </w:r>
    </w:p>
    <w:p w14:paraId="7E1425F1" w14:textId="6600804A" w:rsidR="009410BC" w:rsidRDefault="009410BC" w:rsidP="009410BC">
      <w:pPr>
        <w:rPr>
          <w:sz w:val="32"/>
          <w:szCs w:val="32"/>
        </w:rPr>
      </w:pPr>
    </w:p>
    <w:p w14:paraId="3C468CE5" w14:textId="08F98D93" w:rsidR="009410BC" w:rsidRPr="009410BC" w:rsidRDefault="009410BC" w:rsidP="009410BC">
      <w:pPr>
        <w:rPr>
          <w:sz w:val="32"/>
          <w:szCs w:val="32"/>
        </w:rPr>
      </w:pPr>
      <w:r>
        <w:rPr>
          <w:sz w:val="32"/>
          <w:szCs w:val="32"/>
        </w:rPr>
        <w:t>Risque d’annulation = danger</w:t>
      </w:r>
    </w:p>
    <w:p w14:paraId="2B62F64C" w14:textId="0E8F7DEE" w:rsidR="008C6636" w:rsidRDefault="008C6636" w:rsidP="002D4C13">
      <w:pPr>
        <w:jc w:val="both"/>
        <w:rPr>
          <w:sz w:val="32"/>
          <w:szCs w:val="32"/>
        </w:rPr>
      </w:pPr>
    </w:p>
    <w:p w14:paraId="05923828" w14:textId="77777777" w:rsidR="00C4307F" w:rsidRDefault="00C4307F" w:rsidP="002D4C13">
      <w:pPr>
        <w:jc w:val="both"/>
        <w:rPr>
          <w:b/>
          <w:bCs/>
          <w:sz w:val="32"/>
          <w:szCs w:val="32"/>
          <w:u w:val="single"/>
        </w:rPr>
      </w:pPr>
    </w:p>
    <w:p w14:paraId="54FC02C8" w14:textId="77777777" w:rsidR="00C4307F" w:rsidRDefault="00C4307F" w:rsidP="002D4C13">
      <w:pPr>
        <w:jc w:val="both"/>
        <w:rPr>
          <w:b/>
          <w:bCs/>
          <w:sz w:val="32"/>
          <w:szCs w:val="32"/>
          <w:u w:val="single"/>
        </w:rPr>
      </w:pPr>
    </w:p>
    <w:p w14:paraId="1C6DBC13" w14:textId="77777777" w:rsidR="00C4307F" w:rsidRDefault="00C4307F" w:rsidP="002D4C13">
      <w:pPr>
        <w:jc w:val="both"/>
        <w:rPr>
          <w:b/>
          <w:bCs/>
          <w:sz w:val="32"/>
          <w:szCs w:val="32"/>
          <w:u w:val="single"/>
        </w:rPr>
      </w:pPr>
    </w:p>
    <w:p w14:paraId="5C018A6E" w14:textId="77777777" w:rsidR="00C4307F" w:rsidRDefault="00C4307F" w:rsidP="002D4C13">
      <w:pPr>
        <w:jc w:val="both"/>
        <w:rPr>
          <w:b/>
          <w:bCs/>
          <w:sz w:val="32"/>
          <w:szCs w:val="32"/>
          <w:u w:val="single"/>
        </w:rPr>
      </w:pPr>
    </w:p>
    <w:p w14:paraId="31DECF68" w14:textId="70D34ED5" w:rsidR="008C6636" w:rsidRPr="00C4307F" w:rsidRDefault="004621E6" w:rsidP="002D4C13">
      <w:pPr>
        <w:jc w:val="both"/>
        <w:rPr>
          <w:b/>
          <w:bCs/>
          <w:sz w:val="32"/>
          <w:szCs w:val="32"/>
          <w:u w:val="single"/>
        </w:rPr>
      </w:pPr>
      <w:r>
        <w:rPr>
          <w:b/>
          <w:bCs/>
          <w:sz w:val="32"/>
          <w:szCs w:val="32"/>
          <w:u w:val="single"/>
        </w:rPr>
        <w:t>B/</w:t>
      </w:r>
      <w:r w:rsidR="008C6636" w:rsidRPr="00C4307F">
        <w:rPr>
          <w:b/>
          <w:bCs/>
          <w:sz w:val="32"/>
          <w:szCs w:val="32"/>
          <w:u w:val="single"/>
        </w:rPr>
        <w:t xml:space="preserve"> Les exceptions à l’équilibre du budget annexe</w:t>
      </w:r>
    </w:p>
    <w:p w14:paraId="511F8DFD" w14:textId="42970810" w:rsidR="002942FF" w:rsidRDefault="002942FF" w:rsidP="002D4C13">
      <w:pPr>
        <w:jc w:val="both"/>
        <w:rPr>
          <w:sz w:val="32"/>
          <w:szCs w:val="32"/>
        </w:rPr>
      </w:pPr>
    </w:p>
    <w:p w14:paraId="371D2FE5" w14:textId="62D3F5FF" w:rsidR="002942FF" w:rsidRDefault="002942FF" w:rsidP="002D4C13">
      <w:pPr>
        <w:jc w:val="both"/>
        <w:rPr>
          <w:sz w:val="32"/>
          <w:szCs w:val="32"/>
        </w:rPr>
      </w:pPr>
      <w:r>
        <w:rPr>
          <w:sz w:val="32"/>
          <w:szCs w:val="32"/>
        </w:rPr>
        <w:t>Elles découlent de l’article L. 2224-</w:t>
      </w:r>
      <w:r w:rsidR="009410BC">
        <w:rPr>
          <w:sz w:val="32"/>
          <w:szCs w:val="32"/>
        </w:rPr>
        <w:t>2</w:t>
      </w:r>
      <w:r>
        <w:rPr>
          <w:sz w:val="32"/>
          <w:szCs w:val="32"/>
        </w:rPr>
        <w:t xml:space="preserve"> du CGCT</w:t>
      </w:r>
    </w:p>
    <w:p w14:paraId="770552C8" w14:textId="7718A4C9" w:rsidR="002942FF" w:rsidRDefault="002942FF" w:rsidP="002D4C13">
      <w:pPr>
        <w:jc w:val="both"/>
        <w:rPr>
          <w:sz w:val="32"/>
          <w:szCs w:val="32"/>
        </w:rPr>
      </w:pPr>
      <w:r>
        <w:rPr>
          <w:sz w:val="32"/>
          <w:szCs w:val="32"/>
        </w:rPr>
        <w:t xml:space="preserve">Cet article a été écrit en trois étapes : 1988, 1996 et 2010. </w:t>
      </w:r>
    </w:p>
    <w:p w14:paraId="5ADAB9C4" w14:textId="14157D25" w:rsidR="008C6636" w:rsidRDefault="008C6636" w:rsidP="002D4C13">
      <w:pPr>
        <w:jc w:val="both"/>
        <w:rPr>
          <w:sz w:val="32"/>
          <w:szCs w:val="32"/>
        </w:rPr>
      </w:pPr>
    </w:p>
    <w:p w14:paraId="176EA3A6" w14:textId="517443E8" w:rsidR="008C6636" w:rsidRPr="00C4307F" w:rsidRDefault="004621E6" w:rsidP="002D4C13">
      <w:pPr>
        <w:jc w:val="both"/>
        <w:rPr>
          <w:b/>
          <w:bCs/>
          <w:sz w:val="40"/>
          <w:szCs w:val="40"/>
        </w:rPr>
      </w:pPr>
      <w:r>
        <w:rPr>
          <w:b/>
          <w:bCs/>
          <w:sz w:val="40"/>
          <w:szCs w:val="40"/>
        </w:rPr>
        <w:t>§1</w:t>
      </w:r>
      <w:r w:rsidR="008C6636" w:rsidRPr="00C4307F">
        <w:rPr>
          <w:b/>
          <w:bCs/>
          <w:sz w:val="40"/>
          <w:szCs w:val="40"/>
        </w:rPr>
        <w:t xml:space="preserve"> Loi du 5 janvier 1988</w:t>
      </w:r>
    </w:p>
    <w:p w14:paraId="25A4BF1B" w14:textId="3C44444D" w:rsidR="002942FF" w:rsidRDefault="002942FF" w:rsidP="002D4C13">
      <w:pPr>
        <w:jc w:val="both"/>
        <w:rPr>
          <w:sz w:val="32"/>
          <w:szCs w:val="32"/>
        </w:rPr>
      </w:pPr>
    </w:p>
    <w:p w14:paraId="5C920B40" w14:textId="77777777" w:rsidR="002942FF" w:rsidRPr="002942FF" w:rsidRDefault="002942FF" w:rsidP="002942FF">
      <w:pPr>
        <w:pStyle w:val="Titre2"/>
        <w:shd w:val="clear" w:color="auto" w:fill="FFFFFF"/>
        <w:spacing w:before="0" w:beforeAutospacing="0" w:after="120" w:afterAutospacing="0"/>
        <w:rPr>
          <w:rFonts w:ascii="Arial" w:hAnsi="Arial" w:cs="Arial"/>
          <w:color w:val="4A5E81"/>
          <w:sz w:val="32"/>
          <w:szCs w:val="32"/>
        </w:rPr>
      </w:pPr>
      <w:r w:rsidRPr="002942FF">
        <w:rPr>
          <w:rFonts w:ascii="Arial" w:hAnsi="Arial" w:cs="Arial"/>
          <w:color w:val="4A5E81"/>
          <w:sz w:val="32"/>
          <w:szCs w:val="32"/>
        </w:rPr>
        <w:t>Article L2224-2</w:t>
      </w:r>
    </w:p>
    <w:p w14:paraId="7C317AC0" w14:textId="77777777" w:rsidR="002942FF" w:rsidRPr="00930291" w:rsidRDefault="002942FF" w:rsidP="002942FF">
      <w:pPr>
        <w:pStyle w:val="NormalWeb"/>
        <w:shd w:val="clear" w:color="auto" w:fill="FFFFFF"/>
        <w:spacing w:before="0" w:beforeAutospacing="0" w:after="240" w:afterAutospacing="0"/>
        <w:jc w:val="both"/>
        <w:rPr>
          <w:rFonts w:ascii="Arial" w:hAnsi="Arial" w:cs="Arial"/>
          <w:i/>
          <w:iCs/>
          <w:color w:val="3C3C3C"/>
          <w:sz w:val="32"/>
          <w:szCs w:val="32"/>
        </w:rPr>
      </w:pPr>
      <w:r w:rsidRPr="00930291">
        <w:rPr>
          <w:rFonts w:ascii="Arial" w:hAnsi="Arial" w:cs="Arial"/>
          <w:i/>
          <w:iCs/>
          <w:color w:val="3C3C3C"/>
          <w:sz w:val="32"/>
          <w:szCs w:val="32"/>
        </w:rPr>
        <w:t>Il est interdit aux communes de prendre en charge dans leur budget propre des dépenses au titre des services publics visés à l'article </w:t>
      </w:r>
      <w:hyperlink r:id="rId12" w:history="1">
        <w:r w:rsidRPr="00930291">
          <w:rPr>
            <w:rStyle w:val="Lienhypertexte"/>
            <w:rFonts w:ascii="Arial" w:hAnsi="Arial" w:cs="Arial"/>
            <w:i/>
            <w:iCs/>
            <w:sz w:val="32"/>
            <w:szCs w:val="32"/>
          </w:rPr>
          <w:t>L. 2224-1</w:t>
        </w:r>
      </w:hyperlink>
      <w:r w:rsidRPr="00930291">
        <w:rPr>
          <w:rFonts w:ascii="Arial" w:hAnsi="Arial" w:cs="Arial"/>
          <w:i/>
          <w:iCs/>
          <w:color w:val="3C3C3C"/>
          <w:sz w:val="32"/>
          <w:szCs w:val="32"/>
        </w:rPr>
        <w:t>.</w:t>
      </w:r>
    </w:p>
    <w:p w14:paraId="113F079F" w14:textId="77777777" w:rsidR="002942FF" w:rsidRPr="00930291" w:rsidRDefault="002942FF" w:rsidP="002942FF">
      <w:pPr>
        <w:pStyle w:val="NormalWeb"/>
        <w:shd w:val="clear" w:color="auto" w:fill="FFFFFF"/>
        <w:spacing w:before="0" w:beforeAutospacing="0" w:after="240" w:afterAutospacing="0"/>
        <w:jc w:val="both"/>
        <w:rPr>
          <w:rFonts w:ascii="Arial" w:hAnsi="Arial" w:cs="Arial"/>
          <w:i/>
          <w:iCs/>
          <w:color w:val="3C3C3C"/>
          <w:sz w:val="32"/>
          <w:szCs w:val="32"/>
        </w:rPr>
      </w:pPr>
      <w:r w:rsidRPr="00930291">
        <w:rPr>
          <w:rFonts w:ascii="Arial" w:hAnsi="Arial" w:cs="Arial"/>
          <w:i/>
          <w:iCs/>
          <w:color w:val="3C3C3C"/>
          <w:sz w:val="32"/>
          <w:szCs w:val="32"/>
        </w:rPr>
        <w:t>Toutefois, le conseil municipal peut décider une telle prise en charge lorsque celle-ci est justifiée par l'une des raisons suivantes :</w:t>
      </w:r>
    </w:p>
    <w:p w14:paraId="3A141995" w14:textId="77777777" w:rsidR="002942FF" w:rsidRPr="00930291" w:rsidRDefault="002942FF" w:rsidP="002942FF">
      <w:pPr>
        <w:pStyle w:val="NormalWeb"/>
        <w:shd w:val="clear" w:color="auto" w:fill="FFFFFF"/>
        <w:spacing w:before="0" w:beforeAutospacing="0" w:after="240" w:afterAutospacing="0"/>
        <w:jc w:val="both"/>
        <w:rPr>
          <w:rFonts w:ascii="Arial" w:hAnsi="Arial" w:cs="Arial"/>
          <w:i/>
          <w:iCs/>
          <w:color w:val="3C3C3C"/>
          <w:sz w:val="32"/>
          <w:szCs w:val="32"/>
        </w:rPr>
      </w:pPr>
      <w:r w:rsidRPr="00930291">
        <w:rPr>
          <w:rFonts w:ascii="Arial" w:hAnsi="Arial" w:cs="Arial"/>
          <w:i/>
          <w:iCs/>
          <w:color w:val="3C3C3C"/>
          <w:sz w:val="32"/>
          <w:szCs w:val="32"/>
        </w:rPr>
        <w:t xml:space="preserve">1° Lorsque les exigences du service public conduisent la collectivité à imposer des </w:t>
      </w:r>
      <w:r w:rsidRPr="00930291">
        <w:rPr>
          <w:rFonts w:ascii="Arial" w:hAnsi="Arial" w:cs="Arial"/>
          <w:i/>
          <w:iCs/>
          <w:color w:val="3C3C3C"/>
          <w:sz w:val="32"/>
          <w:szCs w:val="32"/>
          <w:u w:val="single"/>
        </w:rPr>
        <w:t>contraintes particulières de fonctionnement</w:t>
      </w:r>
      <w:r w:rsidRPr="00930291">
        <w:rPr>
          <w:rFonts w:ascii="Arial" w:hAnsi="Arial" w:cs="Arial"/>
          <w:i/>
          <w:iCs/>
          <w:color w:val="3C3C3C"/>
          <w:sz w:val="32"/>
          <w:szCs w:val="32"/>
        </w:rPr>
        <w:t xml:space="preserve"> ;</w:t>
      </w:r>
    </w:p>
    <w:p w14:paraId="30263329" w14:textId="77777777" w:rsidR="002942FF" w:rsidRPr="00930291" w:rsidRDefault="002942FF" w:rsidP="002942FF">
      <w:pPr>
        <w:pStyle w:val="NormalWeb"/>
        <w:shd w:val="clear" w:color="auto" w:fill="FFFFFF"/>
        <w:spacing w:before="0" w:beforeAutospacing="0" w:after="240" w:afterAutospacing="0"/>
        <w:jc w:val="both"/>
        <w:rPr>
          <w:rFonts w:ascii="Arial" w:hAnsi="Arial" w:cs="Arial"/>
          <w:i/>
          <w:iCs/>
          <w:color w:val="3C3C3C"/>
          <w:sz w:val="32"/>
          <w:szCs w:val="32"/>
        </w:rPr>
      </w:pPr>
      <w:r w:rsidRPr="00930291">
        <w:rPr>
          <w:rFonts w:ascii="Arial" w:hAnsi="Arial" w:cs="Arial"/>
          <w:i/>
          <w:iCs/>
          <w:color w:val="3C3C3C"/>
          <w:sz w:val="32"/>
          <w:szCs w:val="32"/>
        </w:rPr>
        <w:t xml:space="preserve">2° Lorsque le fonctionnement du service public exige </w:t>
      </w:r>
      <w:r w:rsidRPr="00930291">
        <w:rPr>
          <w:rFonts w:ascii="Arial" w:hAnsi="Arial" w:cs="Arial"/>
          <w:i/>
          <w:iCs/>
          <w:color w:val="3C3C3C"/>
          <w:sz w:val="32"/>
          <w:szCs w:val="32"/>
          <w:u w:val="single"/>
        </w:rPr>
        <w:t>la réalisation d'investissements</w:t>
      </w:r>
      <w:r w:rsidRPr="00930291">
        <w:rPr>
          <w:rFonts w:ascii="Arial" w:hAnsi="Arial" w:cs="Arial"/>
          <w:i/>
          <w:iCs/>
          <w:color w:val="3C3C3C"/>
          <w:sz w:val="32"/>
          <w:szCs w:val="32"/>
        </w:rPr>
        <w:t xml:space="preserve"> qui, en raison de leur importance et eu égard au nombre d'usagers, ne peuvent être financés sans augmentation excessive des tarifs ;</w:t>
      </w:r>
    </w:p>
    <w:p w14:paraId="4485710E" w14:textId="77777777" w:rsidR="002942FF" w:rsidRPr="00930291" w:rsidRDefault="002942FF" w:rsidP="002942FF">
      <w:pPr>
        <w:pStyle w:val="NormalWeb"/>
        <w:shd w:val="clear" w:color="auto" w:fill="FFFFFF"/>
        <w:spacing w:before="0" w:beforeAutospacing="0" w:after="240" w:afterAutospacing="0"/>
        <w:jc w:val="both"/>
        <w:rPr>
          <w:rFonts w:ascii="Arial" w:hAnsi="Arial" w:cs="Arial"/>
          <w:i/>
          <w:iCs/>
          <w:color w:val="3C3C3C"/>
          <w:sz w:val="32"/>
          <w:szCs w:val="32"/>
        </w:rPr>
      </w:pPr>
      <w:r w:rsidRPr="00930291">
        <w:rPr>
          <w:rFonts w:ascii="Arial" w:hAnsi="Arial" w:cs="Arial"/>
          <w:i/>
          <w:iCs/>
          <w:color w:val="3C3C3C"/>
          <w:sz w:val="32"/>
          <w:szCs w:val="32"/>
        </w:rPr>
        <w:lastRenderedPageBreak/>
        <w:t xml:space="preserve">3° Lorsque, après la période de </w:t>
      </w:r>
      <w:r w:rsidRPr="00930291">
        <w:rPr>
          <w:rFonts w:ascii="Arial" w:hAnsi="Arial" w:cs="Arial"/>
          <w:i/>
          <w:iCs/>
          <w:color w:val="3C3C3C"/>
          <w:sz w:val="32"/>
          <w:szCs w:val="32"/>
          <w:u w:val="single"/>
        </w:rPr>
        <w:t>réglementation des prix</w:t>
      </w:r>
      <w:r w:rsidRPr="00930291">
        <w:rPr>
          <w:rFonts w:ascii="Arial" w:hAnsi="Arial" w:cs="Arial"/>
          <w:i/>
          <w:iCs/>
          <w:color w:val="3C3C3C"/>
          <w:sz w:val="32"/>
          <w:szCs w:val="32"/>
        </w:rPr>
        <w:t>, la suppression de toute prise en charge par le budget de la commune aurait pour conséquence une hausse excessive des tarifs.</w:t>
      </w:r>
    </w:p>
    <w:p w14:paraId="4E4EF2A9" w14:textId="77777777" w:rsidR="002942FF" w:rsidRPr="00930291" w:rsidRDefault="002942FF" w:rsidP="002942FF">
      <w:pPr>
        <w:pStyle w:val="NormalWeb"/>
        <w:shd w:val="clear" w:color="auto" w:fill="FFFFFF"/>
        <w:spacing w:before="0" w:beforeAutospacing="0" w:after="240" w:afterAutospacing="0"/>
        <w:jc w:val="both"/>
        <w:rPr>
          <w:rFonts w:ascii="Arial" w:hAnsi="Arial" w:cs="Arial"/>
          <w:i/>
          <w:iCs/>
          <w:color w:val="3C3C3C"/>
          <w:sz w:val="32"/>
          <w:szCs w:val="32"/>
        </w:rPr>
      </w:pPr>
      <w:r w:rsidRPr="00930291">
        <w:rPr>
          <w:rFonts w:ascii="Arial" w:hAnsi="Arial" w:cs="Arial"/>
          <w:i/>
          <w:iCs/>
          <w:color w:val="3C3C3C"/>
          <w:sz w:val="32"/>
          <w:szCs w:val="32"/>
        </w:rPr>
        <w:t xml:space="preserve">La décision du conseil municipal fait l'objet, </w:t>
      </w:r>
      <w:r w:rsidRPr="00C4307F">
        <w:rPr>
          <w:rFonts w:ascii="Arial" w:hAnsi="Arial" w:cs="Arial"/>
          <w:i/>
          <w:iCs/>
          <w:color w:val="3C3C3C"/>
          <w:sz w:val="32"/>
          <w:szCs w:val="32"/>
          <w:u w:val="single"/>
        </w:rPr>
        <w:t>à peine de nullité</w:t>
      </w:r>
      <w:r w:rsidRPr="00930291">
        <w:rPr>
          <w:rFonts w:ascii="Arial" w:hAnsi="Arial" w:cs="Arial"/>
          <w:i/>
          <w:iCs/>
          <w:color w:val="3C3C3C"/>
          <w:sz w:val="32"/>
          <w:szCs w:val="32"/>
        </w:rPr>
        <w:t xml:space="preserve">, d'une délibération motivée. Cette délibération fixe les </w:t>
      </w:r>
      <w:r w:rsidRPr="009410BC">
        <w:rPr>
          <w:rFonts w:ascii="Arial" w:hAnsi="Arial" w:cs="Arial"/>
          <w:i/>
          <w:iCs/>
          <w:color w:val="3C3C3C"/>
          <w:sz w:val="32"/>
          <w:szCs w:val="32"/>
          <w:u w:val="single"/>
        </w:rPr>
        <w:t>règles de calcul et les modalités de versement</w:t>
      </w:r>
      <w:r w:rsidRPr="00930291">
        <w:rPr>
          <w:rFonts w:ascii="Arial" w:hAnsi="Arial" w:cs="Arial"/>
          <w:i/>
          <w:iCs/>
          <w:color w:val="3C3C3C"/>
          <w:sz w:val="32"/>
          <w:szCs w:val="32"/>
        </w:rPr>
        <w:t xml:space="preserve"> des dépenses du service prises en charge par la commune, ainsi que le ou les exercices auxquels elles se rapportent. En aucun cas, cette prise en charge ne peut se traduire par la compensation pure et simple d'un déficit de fonctionnement.</w:t>
      </w:r>
    </w:p>
    <w:p w14:paraId="21FD217B" w14:textId="77777777" w:rsidR="002942FF" w:rsidRDefault="002942FF" w:rsidP="002D4C13">
      <w:pPr>
        <w:jc w:val="both"/>
        <w:rPr>
          <w:sz w:val="32"/>
          <w:szCs w:val="32"/>
        </w:rPr>
      </w:pPr>
    </w:p>
    <w:p w14:paraId="60D76FEA" w14:textId="77777777" w:rsidR="00C4307F" w:rsidRDefault="00C4307F" w:rsidP="002D4C13">
      <w:pPr>
        <w:jc w:val="both"/>
        <w:rPr>
          <w:b/>
          <w:bCs/>
          <w:sz w:val="40"/>
          <w:szCs w:val="40"/>
        </w:rPr>
      </w:pPr>
    </w:p>
    <w:p w14:paraId="7F002449" w14:textId="77777777" w:rsidR="00C4307F" w:rsidRDefault="00C4307F" w:rsidP="002D4C13">
      <w:pPr>
        <w:jc w:val="both"/>
        <w:rPr>
          <w:b/>
          <w:bCs/>
          <w:sz w:val="40"/>
          <w:szCs w:val="40"/>
        </w:rPr>
      </w:pPr>
    </w:p>
    <w:p w14:paraId="2DF46156" w14:textId="77777777" w:rsidR="00C4307F" w:rsidRDefault="00C4307F" w:rsidP="002D4C13">
      <w:pPr>
        <w:jc w:val="both"/>
        <w:rPr>
          <w:b/>
          <w:bCs/>
          <w:sz w:val="40"/>
          <w:szCs w:val="40"/>
        </w:rPr>
      </w:pPr>
    </w:p>
    <w:p w14:paraId="251FE75D" w14:textId="77777777" w:rsidR="00C4307F" w:rsidRDefault="00C4307F" w:rsidP="002D4C13">
      <w:pPr>
        <w:jc w:val="both"/>
        <w:rPr>
          <w:b/>
          <w:bCs/>
          <w:sz w:val="40"/>
          <w:szCs w:val="40"/>
        </w:rPr>
      </w:pPr>
    </w:p>
    <w:p w14:paraId="060BD7D0" w14:textId="08612C8C" w:rsidR="008C6636" w:rsidRPr="00C4307F" w:rsidRDefault="004621E6" w:rsidP="002D4C13">
      <w:pPr>
        <w:jc w:val="both"/>
        <w:rPr>
          <w:b/>
          <w:bCs/>
          <w:sz w:val="40"/>
          <w:szCs w:val="40"/>
        </w:rPr>
      </w:pPr>
      <w:r>
        <w:rPr>
          <w:b/>
          <w:bCs/>
          <w:sz w:val="40"/>
          <w:szCs w:val="40"/>
        </w:rPr>
        <w:t>§2</w:t>
      </w:r>
      <w:r w:rsidR="008C6636" w:rsidRPr="00C4307F">
        <w:rPr>
          <w:b/>
          <w:bCs/>
          <w:sz w:val="40"/>
          <w:szCs w:val="40"/>
        </w:rPr>
        <w:t xml:space="preserve"> Loi du 12 avril 1996</w:t>
      </w:r>
    </w:p>
    <w:p w14:paraId="6A1AE9EF" w14:textId="258D6A91" w:rsidR="002942FF" w:rsidRDefault="002942FF" w:rsidP="002D4C13">
      <w:pPr>
        <w:jc w:val="both"/>
        <w:rPr>
          <w:sz w:val="32"/>
          <w:szCs w:val="32"/>
        </w:rPr>
      </w:pPr>
    </w:p>
    <w:p w14:paraId="0F9F9266" w14:textId="77777777" w:rsidR="002942FF" w:rsidRPr="00930291" w:rsidRDefault="002942FF" w:rsidP="002942FF">
      <w:pPr>
        <w:pStyle w:val="NormalWeb"/>
        <w:shd w:val="clear" w:color="auto" w:fill="FFFFFF"/>
        <w:spacing w:before="0" w:beforeAutospacing="0" w:after="240" w:afterAutospacing="0"/>
        <w:jc w:val="both"/>
        <w:rPr>
          <w:rFonts w:ascii="Arial" w:hAnsi="Arial" w:cs="Arial"/>
          <w:i/>
          <w:iCs/>
          <w:color w:val="3C3C3C"/>
          <w:sz w:val="32"/>
          <w:szCs w:val="32"/>
        </w:rPr>
      </w:pPr>
      <w:r w:rsidRPr="00930291">
        <w:rPr>
          <w:rFonts w:ascii="Arial" w:hAnsi="Arial" w:cs="Arial"/>
          <w:i/>
          <w:iCs/>
          <w:color w:val="3C3C3C"/>
          <w:sz w:val="32"/>
          <w:szCs w:val="32"/>
        </w:rPr>
        <w:t>L'interdiction prévue au premier alinéa n'est pas applicable :</w:t>
      </w:r>
    </w:p>
    <w:p w14:paraId="77C00F25" w14:textId="77777777" w:rsidR="002942FF" w:rsidRPr="00930291" w:rsidRDefault="002942FF" w:rsidP="002942FF">
      <w:pPr>
        <w:pStyle w:val="NormalWeb"/>
        <w:shd w:val="clear" w:color="auto" w:fill="FFFFFF"/>
        <w:spacing w:before="0" w:beforeAutospacing="0" w:after="240" w:afterAutospacing="0"/>
        <w:jc w:val="both"/>
        <w:rPr>
          <w:rFonts w:ascii="Arial" w:hAnsi="Arial" w:cs="Arial"/>
          <w:i/>
          <w:iCs/>
          <w:color w:val="3C3C3C"/>
          <w:sz w:val="32"/>
          <w:szCs w:val="32"/>
        </w:rPr>
      </w:pPr>
      <w:r w:rsidRPr="00930291">
        <w:rPr>
          <w:rFonts w:ascii="Arial" w:hAnsi="Arial" w:cs="Arial"/>
          <w:i/>
          <w:iCs/>
          <w:color w:val="3C3C3C"/>
          <w:sz w:val="32"/>
          <w:szCs w:val="32"/>
        </w:rPr>
        <w:t xml:space="preserve">1° Dans les communes de </w:t>
      </w:r>
      <w:r w:rsidRPr="00930291">
        <w:rPr>
          <w:rFonts w:ascii="Arial" w:hAnsi="Arial" w:cs="Arial"/>
          <w:i/>
          <w:iCs/>
          <w:color w:val="3C3C3C"/>
          <w:sz w:val="32"/>
          <w:szCs w:val="32"/>
          <w:u w:val="single"/>
        </w:rPr>
        <w:t>moins de 3 000 habitants</w:t>
      </w:r>
      <w:r w:rsidRPr="00930291">
        <w:rPr>
          <w:rFonts w:ascii="Arial" w:hAnsi="Arial" w:cs="Arial"/>
          <w:i/>
          <w:iCs/>
          <w:color w:val="3C3C3C"/>
          <w:sz w:val="32"/>
          <w:szCs w:val="32"/>
        </w:rPr>
        <w:t xml:space="preserve"> et les établissements publics de coopération intercommunale dont aucune commune membre n'a plus de 3 000 habitants, aux </w:t>
      </w:r>
      <w:r w:rsidRPr="00930291">
        <w:rPr>
          <w:rFonts w:ascii="Arial" w:hAnsi="Arial" w:cs="Arial"/>
          <w:i/>
          <w:iCs/>
          <w:color w:val="3C3C3C"/>
          <w:sz w:val="32"/>
          <w:szCs w:val="32"/>
          <w:u w:val="single"/>
        </w:rPr>
        <w:t>services de distribution d'eau et d'assainissement</w:t>
      </w:r>
      <w:r w:rsidRPr="00930291">
        <w:rPr>
          <w:rFonts w:ascii="Arial" w:hAnsi="Arial" w:cs="Arial"/>
          <w:i/>
          <w:iCs/>
          <w:color w:val="3C3C3C"/>
          <w:sz w:val="32"/>
          <w:szCs w:val="32"/>
        </w:rPr>
        <w:t xml:space="preserve"> ;</w:t>
      </w:r>
    </w:p>
    <w:p w14:paraId="3D3E0701" w14:textId="53FB9CB9" w:rsidR="002942FF" w:rsidRDefault="002942FF" w:rsidP="002D4C13">
      <w:pPr>
        <w:jc w:val="both"/>
        <w:rPr>
          <w:sz w:val="32"/>
          <w:szCs w:val="32"/>
        </w:rPr>
      </w:pPr>
    </w:p>
    <w:p w14:paraId="76B8390C" w14:textId="77777777" w:rsidR="00C4307F" w:rsidRDefault="00C4307F" w:rsidP="002D4C13">
      <w:pPr>
        <w:jc w:val="both"/>
        <w:rPr>
          <w:sz w:val="32"/>
          <w:szCs w:val="32"/>
        </w:rPr>
      </w:pPr>
    </w:p>
    <w:p w14:paraId="22A48154" w14:textId="795A89C9" w:rsidR="002942FF" w:rsidRPr="00C4307F" w:rsidRDefault="004621E6" w:rsidP="002D4C13">
      <w:pPr>
        <w:jc w:val="both"/>
        <w:rPr>
          <w:b/>
          <w:bCs/>
          <w:sz w:val="40"/>
          <w:szCs w:val="40"/>
        </w:rPr>
      </w:pPr>
      <w:r>
        <w:rPr>
          <w:b/>
          <w:bCs/>
          <w:sz w:val="40"/>
          <w:szCs w:val="40"/>
        </w:rPr>
        <w:t>§3</w:t>
      </w:r>
      <w:r w:rsidR="002942FF" w:rsidRPr="00C4307F">
        <w:rPr>
          <w:b/>
          <w:bCs/>
          <w:sz w:val="40"/>
          <w:szCs w:val="40"/>
        </w:rPr>
        <w:t xml:space="preserve"> L’Ordonnance du 17 décembre 2010</w:t>
      </w:r>
    </w:p>
    <w:p w14:paraId="6CA21EFD" w14:textId="228BCB52" w:rsidR="002942FF" w:rsidRDefault="002942FF" w:rsidP="002D4C13">
      <w:pPr>
        <w:jc w:val="both"/>
        <w:rPr>
          <w:sz w:val="32"/>
          <w:szCs w:val="32"/>
        </w:rPr>
      </w:pPr>
    </w:p>
    <w:p w14:paraId="734BC382" w14:textId="77777777" w:rsidR="002942FF" w:rsidRPr="00930291" w:rsidRDefault="002942FF" w:rsidP="002942FF">
      <w:pPr>
        <w:pStyle w:val="NormalWeb"/>
        <w:shd w:val="clear" w:color="auto" w:fill="FFFFFF"/>
        <w:spacing w:before="0" w:beforeAutospacing="0" w:after="240" w:afterAutospacing="0"/>
        <w:jc w:val="both"/>
        <w:rPr>
          <w:rFonts w:ascii="Arial" w:hAnsi="Arial" w:cs="Arial"/>
          <w:i/>
          <w:iCs/>
          <w:color w:val="3C3C3C"/>
          <w:sz w:val="32"/>
          <w:szCs w:val="32"/>
        </w:rPr>
      </w:pPr>
      <w:r w:rsidRPr="00930291">
        <w:rPr>
          <w:rFonts w:ascii="Arial" w:hAnsi="Arial" w:cs="Arial"/>
          <w:i/>
          <w:iCs/>
          <w:color w:val="3C3C3C"/>
          <w:sz w:val="32"/>
          <w:szCs w:val="32"/>
        </w:rPr>
        <w:t xml:space="preserve">2° Quelle que soit la population des communes et groupements de collectivités territoriales, aux </w:t>
      </w:r>
      <w:r w:rsidRPr="00930291">
        <w:rPr>
          <w:rFonts w:ascii="Arial" w:hAnsi="Arial" w:cs="Arial"/>
          <w:i/>
          <w:iCs/>
          <w:color w:val="3C3C3C"/>
          <w:sz w:val="32"/>
          <w:szCs w:val="32"/>
          <w:u w:val="single"/>
        </w:rPr>
        <w:t>services publics d'assainissement non collectif</w:t>
      </w:r>
      <w:r w:rsidRPr="00930291">
        <w:rPr>
          <w:rFonts w:ascii="Arial" w:hAnsi="Arial" w:cs="Arial"/>
          <w:i/>
          <w:iCs/>
          <w:color w:val="3C3C3C"/>
          <w:sz w:val="32"/>
          <w:szCs w:val="32"/>
        </w:rPr>
        <w:t xml:space="preserve">, lors de leur création et pour une durée limitée au maximum aux </w:t>
      </w:r>
      <w:r w:rsidRPr="00930291">
        <w:rPr>
          <w:rFonts w:ascii="Arial" w:hAnsi="Arial" w:cs="Arial"/>
          <w:i/>
          <w:iCs/>
          <w:color w:val="3C3C3C"/>
          <w:sz w:val="32"/>
          <w:szCs w:val="32"/>
          <w:u w:val="single"/>
        </w:rPr>
        <w:t>cinq</w:t>
      </w:r>
      <w:r w:rsidRPr="00930291">
        <w:rPr>
          <w:rFonts w:ascii="Arial" w:hAnsi="Arial" w:cs="Arial"/>
          <w:i/>
          <w:iCs/>
          <w:color w:val="3C3C3C"/>
          <w:sz w:val="32"/>
          <w:szCs w:val="32"/>
        </w:rPr>
        <w:t xml:space="preserve"> premiers exercices.</w:t>
      </w:r>
    </w:p>
    <w:p w14:paraId="6803C28F" w14:textId="5F135A0E" w:rsidR="002942FF" w:rsidRDefault="002942FF" w:rsidP="00C4307F">
      <w:pPr>
        <w:pStyle w:val="NormalWeb"/>
        <w:shd w:val="clear" w:color="auto" w:fill="FFFFFF"/>
        <w:spacing w:before="0" w:beforeAutospacing="0" w:after="240" w:afterAutospacing="0"/>
        <w:jc w:val="both"/>
        <w:rPr>
          <w:rFonts w:ascii="Arial" w:hAnsi="Arial" w:cs="Arial"/>
          <w:i/>
          <w:iCs/>
          <w:color w:val="3C3C3C"/>
          <w:sz w:val="32"/>
          <w:szCs w:val="32"/>
        </w:rPr>
      </w:pPr>
      <w:r w:rsidRPr="00930291">
        <w:rPr>
          <w:rFonts w:ascii="Arial" w:hAnsi="Arial" w:cs="Arial"/>
          <w:i/>
          <w:iCs/>
          <w:color w:val="3C3C3C"/>
          <w:sz w:val="32"/>
          <w:szCs w:val="32"/>
        </w:rPr>
        <w:t xml:space="preserve">3° Quelle que soit la population des communes et groupements de collectivités territoriales, aux </w:t>
      </w:r>
      <w:r w:rsidRPr="00930291">
        <w:rPr>
          <w:rFonts w:ascii="Arial" w:hAnsi="Arial" w:cs="Arial"/>
          <w:i/>
          <w:iCs/>
          <w:color w:val="3C3C3C"/>
          <w:sz w:val="32"/>
          <w:szCs w:val="32"/>
          <w:u w:val="single"/>
        </w:rPr>
        <w:t>services publics de gestion des déchets ménagers</w:t>
      </w:r>
      <w:r w:rsidRPr="00930291">
        <w:rPr>
          <w:rFonts w:ascii="Arial" w:hAnsi="Arial" w:cs="Arial"/>
          <w:i/>
          <w:iCs/>
          <w:color w:val="3C3C3C"/>
          <w:sz w:val="32"/>
          <w:szCs w:val="32"/>
        </w:rPr>
        <w:t xml:space="preserve"> et assimilés, lors de l'institution de la redevance d'enlèvement des ordures ménagères et pour une durée limitée au maximum aux </w:t>
      </w:r>
      <w:r w:rsidRPr="00930291">
        <w:rPr>
          <w:rFonts w:ascii="Arial" w:hAnsi="Arial" w:cs="Arial"/>
          <w:i/>
          <w:iCs/>
          <w:color w:val="3C3C3C"/>
          <w:sz w:val="32"/>
          <w:szCs w:val="32"/>
          <w:u w:val="single"/>
        </w:rPr>
        <w:t>quatre</w:t>
      </w:r>
      <w:r w:rsidRPr="00930291">
        <w:rPr>
          <w:rFonts w:ascii="Arial" w:hAnsi="Arial" w:cs="Arial"/>
          <w:i/>
          <w:iCs/>
          <w:color w:val="3C3C3C"/>
          <w:sz w:val="32"/>
          <w:szCs w:val="32"/>
        </w:rPr>
        <w:t xml:space="preserve"> premiers exercices.</w:t>
      </w:r>
    </w:p>
    <w:p w14:paraId="0472B7F6" w14:textId="1BD9BCB2" w:rsidR="00C4307F" w:rsidRPr="00B6248B" w:rsidRDefault="00B6248B" w:rsidP="00C4307F">
      <w:pPr>
        <w:pStyle w:val="NormalWeb"/>
        <w:shd w:val="clear" w:color="auto" w:fill="FFFFFF"/>
        <w:spacing w:before="0" w:beforeAutospacing="0" w:after="240" w:afterAutospacing="0"/>
        <w:jc w:val="both"/>
        <w:rPr>
          <w:rFonts w:ascii="Arial" w:hAnsi="Arial" w:cs="Arial"/>
          <w:b/>
          <w:bCs/>
          <w:color w:val="3C3C3C"/>
          <w:sz w:val="32"/>
          <w:szCs w:val="32"/>
        </w:rPr>
      </w:pPr>
      <w:r>
        <w:rPr>
          <w:rFonts w:ascii="Arial" w:hAnsi="Arial" w:cs="Arial"/>
          <w:b/>
          <w:bCs/>
          <w:color w:val="3C3C3C"/>
          <w:sz w:val="32"/>
          <w:szCs w:val="32"/>
        </w:rPr>
        <w:lastRenderedPageBreak/>
        <w:t xml:space="preserve">En dehors des 6 exceptions, il est strictement interdit au budget principal de verser une subvention d’équilibre au BA. </w:t>
      </w:r>
    </w:p>
    <w:p w14:paraId="0F4B1430" w14:textId="4E522FBB" w:rsidR="00C4307F" w:rsidRDefault="00C4307F" w:rsidP="00C4307F">
      <w:pPr>
        <w:pStyle w:val="NormalWeb"/>
        <w:shd w:val="clear" w:color="auto" w:fill="FFFFFF"/>
        <w:spacing w:before="0" w:beforeAutospacing="0" w:after="240" w:afterAutospacing="0"/>
        <w:jc w:val="both"/>
        <w:rPr>
          <w:rFonts w:ascii="Arial" w:hAnsi="Arial" w:cs="Arial"/>
          <w:i/>
          <w:iCs/>
          <w:color w:val="3C3C3C"/>
          <w:sz w:val="32"/>
          <w:szCs w:val="32"/>
        </w:rPr>
      </w:pPr>
    </w:p>
    <w:p w14:paraId="41FDFEE9" w14:textId="1AF2EDC9" w:rsidR="00C4307F" w:rsidRPr="00C4307F" w:rsidRDefault="00C4307F" w:rsidP="00C4307F">
      <w:pPr>
        <w:pStyle w:val="NormalWeb"/>
        <w:shd w:val="clear" w:color="auto" w:fill="FFFFFF"/>
        <w:spacing w:before="0" w:beforeAutospacing="0" w:after="240" w:afterAutospacing="0"/>
        <w:jc w:val="both"/>
        <w:rPr>
          <w:rFonts w:ascii="Arial" w:hAnsi="Arial" w:cs="Arial"/>
          <w:b/>
          <w:bCs/>
          <w:color w:val="3C3C3C"/>
          <w:sz w:val="44"/>
          <w:szCs w:val="44"/>
        </w:rPr>
      </w:pPr>
      <w:r w:rsidRPr="00C4307F">
        <w:rPr>
          <w:rFonts w:ascii="Arial" w:hAnsi="Arial" w:cs="Arial"/>
          <w:b/>
          <w:bCs/>
          <w:color w:val="3C3C3C"/>
          <w:sz w:val="44"/>
          <w:szCs w:val="44"/>
        </w:rPr>
        <w:t>CONCLUSION :</w:t>
      </w:r>
    </w:p>
    <w:p w14:paraId="7498E7BF" w14:textId="085599FC" w:rsidR="00C4307F" w:rsidRDefault="00C4307F" w:rsidP="00C4307F">
      <w:pPr>
        <w:pStyle w:val="NormalWeb"/>
        <w:shd w:val="clear" w:color="auto" w:fill="FFFFFF"/>
        <w:spacing w:before="0" w:beforeAutospacing="0" w:after="240" w:afterAutospacing="0"/>
        <w:jc w:val="both"/>
        <w:rPr>
          <w:rFonts w:ascii="Arial" w:hAnsi="Arial" w:cs="Arial"/>
          <w:color w:val="3C3C3C"/>
          <w:sz w:val="32"/>
          <w:szCs w:val="32"/>
        </w:rPr>
      </w:pPr>
      <w:r>
        <w:rPr>
          <w:rFonts w:ascii="Arial" w:hAnsi="Arial" w:cs="Arial"/>
          <w:color w:val="3C3C3C"/>
          <w:sz w:val="32"/>
          <w:szCs w:val="32"/>
        </w:rPr>
        <w:t xml:space="preserve">Le principe d’équilibre est un principe de discipline qui dépasse largement le simple cadre budgétaire. C’est une </w:t>
      </w:r>
      <w:r w:rsidRPr="00C4307F">
        <w:rPr>
          <w:rFonts w:ascii="Arial" w:hAnsi="Arial" w:cs="Arial"/>
          <w:color w:val="3C3C3C"/>
          <w:sz w:val="32"/>
          <w:szCs w:val="32"/>
          <w:u w:val="single"/>
        </w:rPr>
        <w:t xml:space="preserve">règle générale d’organisation </w:t>
      </w:r>
      <w:r>
        <w:rPr>
          <w:rFonts w:ascii="Arial" w:hAnsi="Arial" w:cs="Arial"/>
          <w:color w:val="3C3C3C"/>
          <w:sz w:val="32"/>
          <w:szCs w:val="32"/>
        </w:rPr>
        <w:t>des collectivités territoriales. Il joue au stade du vote de la délibération budgétaire ou du compte administratif.</w:t>
      </w:r>
    </w:p>
    <w:p w14:paraId="3D5F4E88" w14:textId="3C30347D" w:rsidR="00C4307F" w:rsidRDefault="00C4307F" w:rsidP="00C4307F">
      <w:pPr>
        <w:pStyle w:val="NormalWeb"/>
        <w:shd w:val="clear" w:color="auto" w:fill="FFFFFF"/>
        <w:spacing w:before="0" w:beforeAutospacing="0" w:after="240" w:afterAutospacing="0"/>
        <w:jc w:val="both"/>
        <w:rPr>
          <w:rFonts w:ascii="Arial" w:hAnsi="Arial" w:cs="Arial"/>
          <w:color w:val="3C3C3C"/>
          <w:sz w:val="32"/>
          <w:szCs w:val="32"/>
        </w:rPr>
      </w:pPr>
      <w:r>
        <w:rPr>
          <w:rFonts w:ascii="Arial" w:hAnsi="Arial" w:cs="Arial"/>
          <w:color w:val="3C3C3C"/>
          <w:sz w:val="32"/>
          <w:szCs w:val="32"/>
        </w:rPr>
        <w:t xml:space="preserve">Il est donc important de comprendre comment on équilibre le budget pour savoir comment fonctionne une collectivité : le budget doit être voté en équilibre. Lors de l’exécution du budget, la section de fonctionnement doit dégager un excédent qui sera constaté au compte administratif et qui servira à financer les investissements. </w:t>
      </w:r>
    </w:p>
    <w:p w14:paraId="205A7F3F" w14:textId="41273D7F" w:rsidR="003C1C5E" w:rsidRDefault="00074DF5" w:rsidP="00074DF5">
      <w:pPr>
        <w:pStyle w:val="NormalWeb"/>
        <w:shd w:val="clear" w:color="auto" w:fill="FFFFFF"/>
        <w:spacing w:before="0" w:beforeAutospacing="0" w:after="240" w:afterAutospacing="0"/>
        <w:jc w:val="center"/>
        <w:rPr>
          <w:rFonts w:ascii="Arial" w:hAnsi="Arial" w:cs="Arial"/>
          <w:color w:val="3C3C3C"/>
          <w:sz w:val="32"/>
          <w:szCs w:val="32"/>
        </w:rPr>
      </w:pPr>
      <w:r>
        <w:rPr>
          <w:rFonts w:ascii="Arial" w:hAnsi="Arial" w:cs="Arial"/>
          <w:color w:val="3C3C3C"/>
          <w:sz w:val="32"/>
          <w:szCs w:val="32"/>
        </w:rPr>
        <w:t>------------</w:t>
      </w:r>
    </w:p>
    <w:p w14:paraId="4CB96EF5" w14:textId="77777777" w:rsidR="003C1C5E" w:rsidRDefault="003C1C5E" w:rsidP="003C1C5E">
      <w:pPr>
        <w:jc w:val="both"/>
        <w:rPr>
          <w:sz w:val="32"/>
          <w:szCs w:val="32"/>
        </w:rPr>
      </w:pPr>
    </w:p>
    <w:p w14:paraId="1DB1A5FF" w14:textId="40695730" w:rsidR="00B442E8" w:rsidRPr="00386743" w:rsidRDefault="00B442E8" w:rsidP="00B442E8">
      <w:pPr>
        <w:rPr>
          <w:b/>
          <w:bCs/>
          <w:sz w:val="44"/>
          <w:szCs w:val="44"/>
        </w:rPr>
      </w:pPr>
      <w:r>
        <w:rPr>
          <w:b/>
          <w:bCs/>
          <w:sz w:val="44"/>
          <w:szCs w:val="44"/>
        </w:rPr>
        <w:t xml:space="preserve">SECTION </w:t>
      </w:r>
      <w:r w:rsidR="00074DF5">
        <w:rPr>
          <w:b/>
          <w:bCs/>
          <w:sz w:val="44"/>
          <w:szCs w:val="44"/>
        </w:rPr>
        <w:t>2</w:t>
      </w:r>
      <w:r>
        <w:rPr>
          <w:b/>
          <w:bCs/>
          <w:sz w:val="44"/>
          <w:szCs w:val="44"/>
        </w:rPr>
        <w:t xml:space="preserve"> </w:t>
      </w:r>
      <w:r w:rsidRPr="00386743">
        <w:rPr>
          <w:b/>
          <w:bCs/>
          <w:sz w:val="44"/>
          <w:szCs w:val="44"/>
        </w:rPr>
        <w:t>L</w:t>
      </w:r>
      <w:r>
        <w:rPr>
          <w:b/>
          <w:bCs/>
          <w:sz w:val="44"/>
          <w:szCs w:val="44"/>
        </w:rPr>
        <w:t>E PRINCIPE D’UNITÉ</w:t>
      </w:r>
    </w:p>
    <w:p w14:paraId="0FB782FC" w14:textId="64A73B21" w:rsidR="003C1C5E" w:rsidRPr="00733358" w:rsidRDefault="003C1C5E" w:rsidP="003C1C5E">
      <w:pPr>
        <w:jc w:val="both"/>
        <w:rPr>
          <w:b/>
          <w:bCs/>
          <w:sz w:val="32"/>
          <w:szCs w:val="32"/>
        </w:rPr>
      </w:pPr>
    </w:p>
    <w:p w14:paraId="0E28C183" w14:textId="77777777" w:rsidR="003C1C5E" w:rsidRPr="00733358" w:rsidRDefault="003C1C5E" w:rsidP="003C1C5E">
      <w:pPr>
        <w:jc w:val="both"/>
        <w:rPr>
          <w:sz w:val="32"/>
          <w:szCs w:val="32"/>
        </w:rPr>
      </w:pPr>
    </w:p>
    <w:p w14:paraId="762F34AD" w14:textId="77777777" w:rsidR="003C1C5E" w:rsidRPr="00733358" w:rsidRDefault="003C1C5E" w:rsidP="003C1C5E">
      <w:pPr>
        <w:jc w:val="both"/>
        <w:rPr>
          <w:sz w:val="32"/>
          <w:szCs w:val="32"/>
        </w:rPr>
      </w:pPr>
    </w:p>
    <w:p w14:paraId="0C04CB95" w14:textId="327C9A31" w:rsidR="003C1C5E" w:rsidRPr="00074DF5" w:rsidRDefault="00074DF5" w:rsidP="003C1C5E">
      <w:pPr>
        <w:jc w:val="both"/>
        <w:rPr>
          <w:b/>
          <w:bCs/>
          <w:sz w:val="32"/>
          <w:szCs w:val="32"/>
        </w:rPr>
      </w:pPr>
      <w:r w:rsidRPr="00074DF5">
        <w:rPr>
          <w:b/>
          <w:bCs/>
          <w:sz w:val="32"/>
          <w:szCs w:val="32"/>
        </w:rPr>
        <w:t>A/</w:t>
      </w:r>
      <w:r w:rsidR="003C1C5E" w:rsidRPr="00074DF5">
        <w:rPr>
          <w:b/>
          <w:bCs/>
          <w:sz w:val="32"/>
          <w:szCs w:val="32"/>
        </w:rPr>
        <w:t xml:space="preserve"> La différence entre l’unité dans les finances de l’État et dans les finances locales</w:t>
      </w:r>
    </w:p>
    <w:p w14:paraId="2F02DAFD" w14:textId="0BF20B6F" w:rsidR="003C1C5E" w:rsidRPr="00733358" w:rsidRDefault="00074DF5" w:rsidP="003C1C5E">
      <w:pPr>
        <w:jc w:val="both"/>
        <w:rPr>
          <w:sz w:val="32"/>
          <w:szCs w:val="32"/>
        </w:rPr>
      </w:pPr>
      <w:r>
        <w:rPr>
          <w:sz w:val="32"/>
          <w:szCs w:val="32"/>
        </w:rPr>
        <w:t>A</w:t>
      </w:r>
      <w:r w:rsidR="003C1C5E" w:rsidRPr="00733358">
        <w:rPr>
          <w:sz w:val="32"/>
          <w:szCs w:val="32"/>
        </w:rPr>
        <w:t xml:space="preserve"> quoi sert le principe d’unité</w:t>
      </w:r>
      <w:r>
        <w:rPr>
          <w:sz w:val="32"/>
          <w:szCs w:val="32"/>
        </w:rPr>
        <w:t> ?</w:t>
      </w:r>
      <w:r w:rsidR="000E5B71">
        <w:rPr>
          <w:sz w:val="32"/>
          <w:szCs w:val="32"/>
        </w:rPr>
        <w:t xml:space="preserve"> c’est un principe de synthèse qui vise à rassembler toutes les R et toutes les D dans un document unique présenté au vote pour qu’il y ait une approbation démocratique</w:t>
      </w:r>
      <w:r w:rsidR="001B1BD6">
        <w:rPr>
          <w:sz w:val="32"/>
          <w:szCs w:val="32"/>
        </w:rPr>
        <w:t xml:space="preserve">. C’est donc un objectif de transparence en effet si on cherche à cacher quelque chose aux élus, c’est anti-démocratique et donc contraire à la transparence. </w:t>
      </w:r>
    </w:p>
    <w:p w14:paraId="1B97D6CE" w14:textId="77777777" w:rsidR="003C1C5E" w:rsidRPr="00733358" w:rsidRDefault="003C1C5E" w:rsidP="003C1C5E">
      <w:pPr>
        <w:jc w:val="both"/>
        <w:rPr>
          <w:sz w:val="32"/>
          <w:szCs w:val="32"/>
        </w:rPr>
      </w:pPr>
    </w:p>
    <w:p w14:paraId="2B186DD6" w14:textId="4CBE7FDF" w:rsidR="003C1C5E" w:rsidRPr="00733358" w:rsidRDefault="00074DF5" w:rsidP="003C1C5E">
      <w:pPr>
        <w:jc w:val="both"/>
        <w:rPr>
          <w:sz w:val="32"/>
          <w:szCs w:val="32"/>
        </w:rPr>
      </w:pPr>
      <w:r>
        <w:rPr>
          <w:sz w:val="32"/>
          <w:szCs w:val="32"/>
        </w:rPr>
        <w:t>§1</w:t>
      </w:r>
      <w:r w:rsidR="003C1C5E" w:rsidRPr="00733358">
        <w:rPr>
          <w:sz w:val="32"/>
          <w:szCs w:val="32"/>
        </w:rPr>
        <w:t xml:space="preserve"> L’unité dans les finances de l’État</w:t>
      </w:r>
      <w:r w:rsidR="001B1BD6">
        <w:rPr>
          <w:sz w:val="32"/>
          <w:szCs w:val="32"/>
        </w:rPr>
        <w:t xml:space="preserve"> : on distingue les opérations budgétaires et les opérations de trésorerie. Les OB sont BG + BA + CS. Et ces OB sont retracées dans un tableau qui est </w:t>
      </w:r>
      <w:proofErr w:type="gramStart"/>
      <w:r w:rsidR="001B1BD6">
        <w:rPr>
          <w:sz w:val="32"/>
          <w:szCs w:val="32"/>
        </w:rPr>
        <w:t>la tableau</w:t>
      </w:r>
      <w:proofErr w:type="gramEnd"/>
      <w:r w:rsidR="001B1BD6">
        <w:rPr>
          <w:sz w:val="32"/>
          <w:szCs w:val="32"/>
        </w:rPr>
        <w:t xml:space="preserve"> d’équilibre de la loi de finances. </w:t>
      </w:r>
    </w:p>
    <w:p w14:paraId="633A6BC7" w14:textId="693B789F" w:rsidR="003C1C5E" w:rsidRPr="00733358" w:rsidRDefault="00074DF5" w:rsidP="003C1C5E">
      <w:pPr>
        <w:jc w:val="both"/>
        <w:rPr>
          <w:sz w:val="32"/>
          <w:szCs w:val="32"/>
        </w:rPr>
      </w:pPr>
      <w:r>
        <w:rPr>
          <w:sz w:val="32"/>
          <w:szCs w:val="32"/>
        </w:rPr>
        <w:t>§2</w:t>
      </w:r>
      <w:r w:rsidR="003C1C5E" w:rsidRPr="00733358">
        <w:rPr>
          <w:sz w:val="32"/>
          <w:szCs w:val="32"/>
        </w:rPr>
        <w:t xml:space="preserve"> L’unité dans les finances locales</w:t>
      </w:r>
      <w:r w:rsidR="001B1BD6">
        <w:rPr>
          <w:sz w:val="32"/>
          <w:szCs w:val="32"/>
        </w:rPr>
        <w:t xml:space="preserve"> : l’unité sera beaucoup plus contraignante. Pourquoi ? prenons un exemple concret : les opérations d’emprunts et de prêts. On trouve les produits d’emprunts en recettes de la SI, le capital en dépense de la SI, et </w:t>
      </w:r>
      <w:r w:rsidR="001B1BD6" w:rsidRPr="001B1BD6">
        <w:rPr>
          <w:sz w:val="32"/>
          <w:szCs w:val="32"/>
          <w:u w:val="single"/>
        </w:rPr>
        <w:t>les intérêts</w:t>
      </w:r>
      <w:r w:rsidR="001B1BD6">
        <w:rPr>
          <w:sz w:val="32"/>
          <w:szCs w:val="32"/>
        </w:rPr>
        <w:t xml:space="preserve"> qui figurent dans la SF en dépenses. </w:t>
      </w:r>
    </w:p>
    <w:p w14:paraId="5345A49B" w14:textId="77777777" w:rsidR="003C1C5E" w:rsidRPr="00733358" w:rsidRDefault="003C1C5E" w:rsidP="003C1C5E">
      <w:pPr>
        <w:jc w:val="both"/>
        <w:rPr>
          <w:sz w:val="32"/>
          <w:szCs w:val="32"/>
        </w:rPr>
      </w:pPr>
    </w:p>
    <w:p w14:paraId="31C8BD0E" w14:textId="297590D3" w:rsidR="003C1C5E" w:rsidRPr="00074DF5" w:rsidRDefault="00074DF5" w:rsidP="003C1C5E">
      <w:pPr>
        <w:jc w:val="both"/>
        <w:rPr>
          <w:b/>
          <w:bCs/>
          <w:sz w:val="32"/>
          <w:szCs w:val="32"/>
        </w:rPr>
      </w:pPr>
      <w:r w:rsidRPr="00074DF5">
        <w:rPr>
          <w:b/>
          <w:bCs/>
          <w:sz w:val="32"/>
          <w:szCs w:val="32"/>
        </w:rPr>
        <w:lastRenderedPageBreak/>
        <w:t>B/</w:t>
      </w:r>
      <w:r w:rsidR="003C1C5E" w:rsidRPr="00074DF5">
        <w:rPr>
          <w:b/>
          <w:bCs/>
          <w:sz w:val="32"/>
          <w:szCs w:val="32"/>
        </w:rPr>
        <w:t xml:space="preserve"> L’impossibilité d’avoir un seul document unique dans les Finances locales</w:t>
      </w:r>
    </w:p>
    <w:p w14:paraId="7D098764" w14:textId="77B257EB" w:rsidR="003C1C5E" w:rsidRPr="00733358" w:rsidRDefault="00074DF5" w:rsidP="003C1C5E">
      <w:pPr>
        <w:jc w:val="both"/>
        <w:rPr>
          <w:sz w:val="32"/>
          <w:szCs w:val="32"/>
        </w:rPr>
      </w:pPr>
      <w:r>
        <w:rPr>
          <w:sz w:val="32"/>
          <w:szCs w:val="32"/>
        </w:rPr>
        <w:t>§1</w:t>
      </w:r>
      <w:r w:rsidR="003C1C5E" w:rsidRPr="00733358">
        <w:rPr>
          <w:sz w:val="32"/>
          <w:szCs w:val="32"/>
        </w:rPr>
        <w:t xml:space="preserve"> Pour le budget principal</w:t>
      </w:r>
      <w:r w:rsidR="001B1BD6">
        <w:rPr>
          <w:sz w:val="32"/>
          <w:szCs w:val="32"/>
        </w:rPr>
        <w:t xml:space="preserve"> : il y a le BP modifié en cours d’année par les DM et le BS. </w:t>
      </w:r>
    </w:p>
    <w:p w14:paraId="719C0834" w14:textId="593424A7" w:rsidR="003C1C5E" w:rsidRPr="00733358" w:rsidRDefault="00074DF5" w:rsidP="003C1C5E">
      <w:pPr>
        <w:jc w:val="both"/>
        <w:rPr>
          <w:sz w:val="32"/>
          <w:szCs w:val="32"/>
        </w:rPr>
      </w:pPr>
      <w:r>
        <w:rPr>
          <w:sz w:val="32"/>
          <w:szCs w:val="32"/>
        </w:rPr>
        <w:t>§2</w:t>
      </w:r>
      <w:r w:rsidR="003C1C5E" w:rsidRPr="00733358">
        <w:rPr>
          <w:sz w:val="32"/>
          <w:szCs w:val="32"/>
        </w:rPr>
        <w:t xml:space="preserve"> L’importance des BA</w:t>
      </w:r>
      <w:r w:rsidR="001B1BD6">
        <w:rPr>
          <w:sz w:val="32"/>
          <w:szCs w:val="32"/>
        </w:rPr>
        <w:t xml:space="preserve"> : ils sont à part et ils sont toujours votés à part. Mais il existe deux types de présentation des BA. La présentation totalement séparée et la présentation intégrée : les BA figurent au sein des annexes du BP. </w:t>
      </w:r>
    </w:p>
    <w:p w14:paraId="09F39CEB" w14:textId="77777777" w:rsidR="003C1C5E" w:rsidRPr="00733358" w:rsidRDefault="003C1C5E" w:rsidP="003C1C5E">
      <w:pPr>
        <w:jc w:val="both"/>
        <w:rPr>
          <w:sz w:val="32"/>
          <w:szCs w:val="32"/>
        </w:rPr>
      </w:pPr>
    </w:p>
    <w:p w14:paraId="61D797BF" w14:textId="639DF9B8" w:rsidR="003C1C5E" w:rsidRPr="00074DF5" w:rsidRDefault="00074DF5" w:rsidP="003C1C5E">
      <w:pPr>
        <w:jc w:val="both"/>
        <w:rPr>
          <w:b/>
          <w:bCs/>
          <w:sz w:val="32"/>
          <w:szCs w:val="32"/>
        </w:rPr>
      </w:pPr>
      <w:r w:rsidRPr="00074DF5">
        <w:rPr>
          <w:b/>
          <w:bCs/>
          <w:sz w:val="32"/>
          <w:szCs w:val="32"/>
        </w:rPr>
        <w:t>C/</w:t>
      </w:r>
      <w:r w:rsidR="003C1C5E" w:rsidRPr="00074DF5">
        <w:rPr>
          <w:b/>
          <w:bCs/>
          <w:sz w:val="32"/>
          <w:szCs w:val="32"/>
        </w:rPr>
        <w:t xml:space="preserve"> Éclatement ou renforcement de la notion </w:t>
      </w:r>
      <w:r w:rsidR="001B1BD6">
        <w:rPr>
          <w:b/>
          <w:bCs/>
          <w:sz w:val="32"/>
          <w:szCs w:val="32"/>
        </w:rPr>
        <w:t xml:space="preserve">de l’unité </w:t>
      </w:r>
      <w:r w:rsidR="003C1C5E" w:rsidRPr="00074DF5">
        <w:rPr>
          <w:b/>
          <w:bCs/>
          <w:sz w:val="32"/>
          <w:szCs w:val="32"/>
        </w:rPr>
        <w:t>du budget</w:t>
      </w:r>
    </w:p>
    <w:p w14:paraId="26E552F4" w14:textId="03863F5F" w:rsidR="003C1C5E" w:rsidRPr="00733358" w:rsidRDefault="00074DF5" w:rsidP="003C1C5E">
      <w:pPr>
        <w:jc w:val="both"/>
        <w:rPr>
          <w:sz w:val="32"/>
          <w:szCs w:val="32"/>
        </w:rPr>
      </w:pPr>
      <w:r>
        <w:rPr>
          <w:sz w:val="32"/>
          <w:szCs w:val="32"/>
        </w:rPr>
        <w:t>§1</w:t>
      </w:r>
      <w:r w:rsidR="003C1C5E" w:rsidRPr="00733358">
        <w:rPr>
          <w:sz w:val="32"/>
          <w:szCs w:val="32"/>
        </w:rPr>
        <w:t xml:space="preserve"> L’éclatement à partir de 1985</w:t>
      </w:r>
      <w:r w:rsidR="001B1BD6">
        <w:rPr>
          <w:sz w:val="32"/>
          <w:szCs w:val="32"/>
        </w:rPr>
        <w:t xml:space="preserve"> : Vont apparaître une multiplicité de satellites gravitant autour du budget principal de la CT. Ces satellites sont : BA, Associations Loi 1901, Sociétés publiques locales, SEML, établissements publics rattachés (enseignement et santé) ainsi que des entreprises bénéficiant d’aides directes ou indirectes. On ne savait plus quel était le périmètre financier de la CT. </w:t>
      </w:r>
    </w:p>
    <w:p w14:paraId="46AC28F1" w14:textId="42C6E989" w:rsidR="003C1C5E" w:rsidRDefault="00074DF5" w:rsidP="003C1C5E">
      <w:pPr>
        <w:jc w:val="both"/>
        <w:rPr>
          <w:sz w:val="32"/>
          <w:szCs w:val="32"/>
        </w:rPr>
      </w:pPr>
      <w:r>
        <w:rPr>
          <w:sz w:val="32"/>
          <w:szCs w:val="32"/>
        </w:rPr>
        <w:t>§2</w:t>
      </w:r>
      <w:r w:rsidR="003C1C5E" w:rsidRPr="00733358">
        <w:rPr>
          <w:sz w:val="32"/>
          <w:szCs w:val="32"/>
        </w:rPr>
        <w:t xml:space="preserve"> Le renforcement à partir de 1992</w:t>
      </w:r>
      <w:r w:rsidR="005723B2">
        <w:rPr>
          <w:sz w:val="32"/>
          <w:szCs w:val="32"/>
        </w:rPr>
        <w:t xml:space="preserve"> c’est la loi ATR du 6 février 1992. </w:t>
      </w:r>
    </w:p>
    <w:p w14:paraId="63FA09D4" w14:textId="204B83C5" w:rsidR="005723B2" w:rsidRDefault="005723B2" w:rsidP="005723B2">
      <w:pPr>
        <w:pStyle w:val="Paragraphedeliste"/>
        <w:numPr>
          <w:ilvl w:val="0"/>
          <w:numId w:val="3"/>
        </w:numPr>
        <w:jc w:val="both"/>
        <w:rPr>
          <w:sz w:val="32"/>
          <w:szCs w:val="32"/>
        </w:rPr>
      </w:pPr>
      <w:r>
        <w:rPr>
          <w:sz w:val="32"/>
          <w:szCs w:val="32"/>
        </w:rPr>
        <w:t xml:space="preserve">Elle rend obligatoire la publication de ratios pour les communes de + 3500 habitants et + 10 000 hab. </w:t>
      </w:r>
    </w:p>
    <w:p w14:paraId="33239F26" w14:textId="10DE562E" w:rsidR="005723B2" w:rsidRDefault="005723B2" w:rsidP="005723B2">
      <w:pPr>
        <w:pStyle w:val="Paragraphedeliste"/>
        <w:numPr>
          <w:ilvl w:val="0"/>
          <w:numId w:val="3"/>
        </w:numPr>
        <w:jc w:val="both"/>
        <w:rPr>
          <w:sz w:val="32"/>
          <w:szCs w:val="32"/>
        </w:rPr>
      </w:pPr>
      <w:r>
        <w:rPr>
          <w:sz w:val="32"/>
          <w:szCs w:val="32"/>
        </w:rPr>
        <w:t>Elle oblige les communes à faire figurer en annexe une consolidation des comptes du BP et de tous les BA</w:t>
      </w:r>
    </w:p>
    <w:p w14:paraId="3C9CD537" w14:textId="6165FA98" w:rsidR="005723B2" w:rsidRPr="005723B2" w:rsidRDefault="005723B2" w:rsidP="005723B2">
      <w:pPr>
        <w:pStyle w:val="Paragraphedeliste"/>
        <w:numPr>
          <w:ilvl w:val="0"/>
          <w:numId w:val="3"/>
        </w:numPr>
        <w:jc w:val="both"/>
        <w:rPr>
          <w:sz w:val="32"/>
          <w:szCs w:val="32"/>
        </w:rPr>
      </w:pPr>
      <w:r>
        <w:rPr>
          <w:sz w:val="32"/>
          <w:szCs w:val="32"/>
        </w:rPr>
        <w:t xml:space="preserve">Elle oblige à donner en annexe du BP et du CA des informations sur les satellites. </w:t>
      </w:r>
    </w:p>
    <w:p w14:paraId="55AB7845" w14:textId="452C74E8" w:rsidR="003C1C5E" w:rsidRDefault="003C1C5E" w:rsidP="003C1C5E">
      <w:pPr>
        <w:jc w:val="both"/>
        <w:rPr>
          <w:sz w:val="32"/>
          <w:szCs w:val="32"/>
        </w:rPr>
      </w:pPr>
    </w:p>
    <w:p w14:paraId="558DBE99" w14:textId="39D5D703" w:rsidR="00074DF5" w:rsidRDefault="00074DF5" w:rsidP="003C1C5E">
      <w:pPr>
        <w:jc w:val="both"/>
        <w:rPr>
          <w:sz w:val="32"/>
          <w:szCs w:val="32"/>
        </w:rPr>
      </w:pPr>
    </w:p>
    <w:p w14:paraId="1A2484AE" w14:textId="4E1F32D9" w:rsidR="00074DF5" w:rsidRDefault="00074DF5" w:rsidP="00074DF5">
      <w:pPr>
        <w:rPr>
          <w:b/>
          <w:bCs/>
          <w:sz w:val="44"/>
          <w:szCs w:val="44"/>
        </w:rPr>
      </w:pPr>
      <w:r>
        <w:rPr>
          <w:b/>
          <w:bCs/>
          <w:sz w:val="44"/>
          <w:szCs w:val="44"/>
        </w:rPr>
        <w:t xml:space="preserve">CHAPITRE </w:t>
      </w:r>
      <w:r>
        <w:rPr>
          <w:b/>
          <w:bCs/>
          <w:sz w:val="44"/>
          <w:szCs w:val="44"/>
        </w:rPr>
        <w:t>2</w:t>
      </w:r>
      <w:r>
        <w:rPr>
          <w:b/>
          <w:bCs/>
          <w:sz w:val="44"/>
          <w:szCs w:val="44"/>
        </w:rPr>
        <w:t> : LES PRINCIPES</w:t>
      </w:r>
      <w:r>
        <w:rPr>
          <w:b/>
          <w:bCs/>
          <w:sz w:val="44"/>
          <w:szCs w:val="44"/>
        </w:rPr>
        <w:t xml:space="preserve"> AFFAIBLIS</w:t>
      </w:r>
    </w:p>
    <w:p w14:paraId="5BA6695A" w14:textId="77777777" w:rsidR="00074DF5" w:rsidRPr="00733358" w:rsidRDefault="00074DF5" w:rsidP="003C1C5E">
      <w:pPr>
        <w:jc w:val="both"/>
        <w:rPr>
          <w:sz w:val="32"/>
          <w:szCs w:val="32"/>
        </w:rPr>
      </w:pPr>
    </w:p>
    <w:p w14:paraId="2E31DD4A" w14:textId="6542A608" w:rsidR="003C1C5E" w:rsidRPr="00733358" w:rsidRDefault="003C1C5E" w:rsidP="003C1C5E">
      <w:pPr>
        <w:jc w:val="both"/>
        <w:rPr>
          <w:b/>
          <w:bCs/>
          <w:sz w:val="32"/>
          <w:szCs w:val="32"/>
          <w:u w:val="single"/>
        </w:rPr>
      </w:pPr>
      <w:r w:rsidRPr="00733358">
        <w:rPr>
          <w:b/>
          <w:bCs/>
          <w:sz w:val="32"/>
          <w:szCs w:val="32"/>
          <w:u w:val="single"/>
        </w:rPr>
        <w:t xml:space="preserve">Section </w:t>
      </w:r>
      <w:r w:rsidR="00074DF5">
        <w:rPr>
          <w:b/>
          <w:bCs/>
          <w:sz w:val="32"/>
          <w:szCs w:val="32"/>
          <w:u w:val="single"/>
        </w:rPr>
        <w:t>1</w:t>
      </w:r>
      <w:r w:rsidRPr="00733358">
        <w:rPr>
          <w:b/>
          <w:bCs/>
          <w:sz w:val="32"/>
          <w:szCs w:val="32"/>
          <w:u w:val="single"/>
        </w:rPr>
        <w:t xml:space="preserve"> Le principe d’annualité </w:t>
      </w:r>
    </w:p>
    <w:p w14:paraId="4A031AC7" w14:textId="77777777" w:rsidR="003C1C5E" w:rsidRPr="00733358" w:rsidRDefault="003C1C5E" w:rsidP="003C1C5E">
      <w:pPr>
        <w:jc w:val="both"/>
        <w:rPr>
          <w:sz w:val="32"/>
          <w:szCs w:val="32"/>
        </w:rPr>
      </w:pPr>
    </w:p>
    <w:p w14:paraId="7427154A" w14:textId="77777777" w:rsidR="003C1C5E" w:rsidRPr="005723B2" w:rsidRDefault="003C1C5E" w:rsidP="003C1C5E">
      <w:pPr>
        <w:jc w:val="both"/>
        <w:rPr>
          <w:color w:val="FFFF00"/>
          <w:sz w:val="32"/>
          <w:szCs w:val="32"/>
        </w:rPr>
      </w:pPr>
      <w:r w:rsidRPr="005723B2">
        <w:rPr>
          <w:color w:val="FFFF00"/>
          <w:sz w:val="32"/>
          <w:szCs w:val="32"/>
          <w:highlight w:val="black"/>
        </w:rPr>
        <w:t>A/ L’annualité est forte en matière fiscale</w:t>
      </w:r>
    </w:p>
    <w:p w14:paraId="1A689F49" w14:textId="0C0ADB49" w:rsidR="003C1C5E" w:rsidRDefault="003C1C5E" w:rsidP="003C1C5E">
      <w:pPr>
        <w:jc w:val="both"/>
        <w:rPr>
          <w:sz w:val="32"/>
          <w:szCs w:val="32"/>
        </w:rPr>
      </w:pPr>
      <w:r w:rsidRPr="00733358">
        <w:rPr>
          <w:sz w:val="32"/>
          <w:szCs w:val="32"/>
        </w:rPr>
        <w:t>§1 Le principe d’annualité de l’impôt et la section de fonctionnement</w:t>
      </w:r>
    </w:p>
    <w:p w14:paraId="178B3446" w14:textId="6D7BAB05" w:rsidR="005723B2" w:rsidRDefault="005723B2" w:rsidP="003C1C5E">
      <w:pPr>
        <w:jc w:val="both"/>
        <w:rPr>
          <w:sz w:val="32"/>
          <w:szCs w:val="32"/>
        </w:rPr>
      </w:pPr>
      <w:r>
        <w:rPr>
          <w:sz w:val="32"/>
          <w:szCs w:val="32"/>
        </w:rPr>
        <w:t xml:space="preserve">Tous les impôts sont fortement marqués par l’annualité car le principe d’annualité a été inventé </w:t>
      </w:r>
      <w:proofErr w:type="gramStart"/>
      <w:r>
        <w:rPr>
          <w:sz w:val="32"/>
          <w:szCs w:val="32"/>
        </w:rPr>
        <w:t>créé</w:t>
      </w:r>
      <w:proofErr w:type="gramEnd"/>
      <w:r>
        <w:rPr>
          <w:sz w:val="32"/>
          <w:szCs w:val="32"/>
        </w:rPr>
        <w:t xml:space="preserve"> pour les impôts afin d’obliger à respecter un minimum de démocratie en la matière. Les impôts figurent dans la SF où sont classées toutes les R et les D annuelles. Nous verrons plus tard que le rattachement des charges et des produits à l’exercice est un renforcement de l’annualité qui ne concerne qu’une seule section : la SF. </w:t>
      </w:r>
    </w:p>
    <w:p w14:paraId="3C5CD9D9" w14:textId="77777777" w:rsidR="005723B2" w:rsidRPr="00733358" w:rsidRDefault="005723B2" w:rsidP="003C1C5E">
      <w:pPr>
        <w:jc w:val="both"/>
        <w:rPr>
          <w:sz w:val="32"/>
          <w:szCs w:val="32"/>
        </w:rPr>
      </w:pPr>
    </w:p>
    <w:p w14:paraId="3AB38079" w14:textId="52BC1237" w:rsidR="003C1C5E" w:rsidRDefault="003C1C5E" w:rsidP="003C1C5E">
      <w:pPr>
        <w:jc w:val="both"/>
        <w:rPr>
          <w:sz w:val="32"/>
          <w:szCs w:val="32"/>
        </w:rPr>
      </w:pPr>
      <w:r w:rsidRPr="00733358">
        <w:rPr>
          <w:sz w:val="32"/>
          <w:szCs w:val="32"/>
        </w:rPr>
        <w:t>§2 Les exemples de la force de l’annualité en matière fiscale</w:t>
      </w:r>
    </w:p>
    <w:p w14:paraId="141397EF" w14:textId="6B534702" w:rsidR="00BD6ECC" w:rsidRDefault="00BD6ECC" w:rsidP="00BD6ECC">
      <w:pPr>
        <w:pStyle w:val="Paragraphedeliste"/>
        <w:numPr>
          <w:ilvl w:val="0"/>
          <w:numId w:val="4"/>
        </w:numPr>
        <w:jc w:val="both"/>
        <w:rPr>
          <w:sz w:val="32"/>
          <w:szCs w:val="32"/>
        </w:rPr>
      </w:pPr>
      <w:r>
        <w:rPr>
          <w:sz w:val="32"/>
          <w:szCs w:val="32"/>
        </w:rPr>
        <w:t xml:space="preserve">Le vote des taux : il est annuel, il est décidé dans le cadre du BP et il n’est pas possible de le modifier en cours d’année. </w:t>
      </w:r>
    </w:p>
    <w:p w14:paraId="112B8829" w14:textId="55FEED2F" w:rsidR="00BD6ECC" w:rsidRPr="00BD6ECC" w:rsidRDefault="00BD6ECC" w:rsidP="00BD6ECC">
      <w:pPr>
        <w:pStyle w:val="Paragraphedeliste"/>
        <w:numPr>
          <w:ilvl w:val="0"/>
          <w:numId w:val="4"/>
        </w:numPr>
        <w:jc w:val="both"/>
        <w:rPr>
          <w:sz w:val="32"/>
          <w:szCs w:val="32"/>
        </w:rPr>
      </w:pPr>
      <w:r>
        <w:rPr>
          <w:sz w:val="32"/>
          <w:szCs w:val="32"/>
        </w:rPr>
        <w:lastRenderedPageBreak/>
        <w:t xml:space="preserve">La règle du premier janvier : cette règle figure dans le CGI. Il y est dit que le contribuable qui remplit les conditions de la loi fiscale pour les impôts locaux au jour du premier janvier est redevable de la cotisation annuelle indivisible. C’est une règle de simplification qui s’applique aux impôts locaux pour éviter aux services de calculer le prorata </w:t>
      </w:r>
      <w:proofErr w:type="spellStart"/>
      <w:r>
        <w:rPr>
          <w:sz w:val="32"/>
          <w:szCs w:val="32"/>
        </w:rPr>
        <w:t>temporis</w:t>
      </w:r>
      <w:proofErr w:type="spellEnd"/>
      <w:r>
        <w:rPr>
          <w:sz w:val="32"/>
          <w:szCs w:val="32"/>
        </w:rPr>
        <w:t xml:space="preserve">. On applique le principe d’annualité et la règle du premier janvier. </w:t>
      </w:r>
    </w:p>
    <w:p w14:paraId="13546A57" w14:textId="77777777" w:rsidR="003C1C5E" w:rsidRPr="00733358" w:rsidRDefault="003C1C5E" w:rsidP="003C1C5E">
      <w:pPr>
        <w:jc w:val="both"/>
        <w:rPr>
          <w:sz w:val="32"/>
          <w:szCs w:val="32"/>
        </w:rPr>
      </w:pPr>
    </w:p>
    <w:p w14:paraId="288050EA" w14:textId="77777777" w:rsidR="003C1C5E" w:rsidRPr="00733358" w:rsidRDefault="003C1C5E" w:rsidP="00BD6ECC">
      <w:pPr>
        <w:shd w:val="clear" w:color="auto" w:fill="00B0F0"/>
        <w:jc w:val="both"/>
        <w:rPr>
          <w:sz w:val="32"/>
          <w:szCs w:val="32"/>
        </w:rPr>
      </w:pPr>
      <w:r w:rsidRPr="00733358">
        <w:rPr>
          <w:sz w:val="32"/>
          <w:szCs w:val="32"/>
        </w:rPr>
        <w:t>B/ L’impossibilité d’imposer l’antériorité au budget local</w:t>
      </w:r>
    </w:p>
    <w:p w14:paraId="5DACFB85" w14:textId="77777777" w:rsidR="003C1C5E" w:rsidRPr="00733358" w:rsidRDefault="003C1C5E" w:rsidP="003C1C5E">
      <w:pPr>
        <w:jc w:val="both"/>
        <w:rPr>
          <w:sz w:val="32"/>
          <w:szCs w:val="32"/>
        </w:rPr>
      </w:pPr>
      <w:r w:rsidRPr="00733358">
        <w:rPr>
          <w:sz w:val="32"/>
          <w:szCs w:val="32"/>
        </w:rPr>
        <w:t>Existence d’un vide juridique entre le 1</w:t>
      </w:r>
      <w:r w:rsidRPr="00733358">
        <w:rPr>
          <w:sz w:val="32"/>
          <w:szCs w:val="32"/>
          <w:vertAlign w:val="superscript"/>
        </w:rPr>
        <w:t>er</w:t>
      </w:r>
      <w:r w:rsidRPr="00733358">
        <w:rPr>
          <w:sz w:val="32"/>
          <w:szCs w:val="32"/>
        </w:rPr>
        <w:t xml:space="preserve"> janvier et la date de vote du BP</w:t>
      </w:r>
    </w:p>
    <w:p w14:paraId="503A0757" w14:textId="356CA15A" w:rsidR="003C1C5E" w:rsidRPr="00733358" w:rsidRDefault="003C1C5E" w:rsidP="003C1C5E">
      <w:pPr>
        <w:jc w:val="both"/>
        <w:rPr>
          <w:sz w:val="32"/>
          <w:szCs w:val="32"/>
        </w:rPr>
      </w:pPr>
      <w:r w:rsidRPr="00733358">
        <w:rPr>
          <w:sz w:val="32"/>
          <w:szCs w:val="32"/>
        </w:rPr>
        <w:t xml:space="preserve">§1 </w:t>
      </w:r>
      <w:r w:rsidRPr="006654CA">
        <w:rPr>
          <w:sz w:val="32"/>
          <w:szCs w:val="32"/>
          <w:u w:val="single"/>
        </w:rPr>
        <w:t>Pour les recettes</w:t>
      </w:r>
      <w:r w:rsidR="00BD6ECC" w:rsidRPr="006654CA">
        <w:rPr>
          <w:sz w:val="32"/>
          <w:szCs w:val="32"/>
          <w:u w:val="single"/>
        </w:rPr>
        <w:t>, c’est très simple</w:t>
      </w:r>
      <w:r w:rsidR="00BD6ECC">
        <w:rPr>
          <w:sz w:val="32"/>
          <w:szCs w:val="32"/>
        </w:rPr>
        <w:t xml:space="preserve"> : même sans budget voté, on peut très bien encaisser et mettre en recouvrement les recettes sans attendre. Ce qui est très pratique pour la CT. D’ailleurs l’État va avancer à chaque CT le produit des impôts locaux et de la DGF avant même le vote du BP. </w:t>
      </w:r>
    </w:p>
    <w:p w14:paraId="5D386F44" w14:textId="3A96316A" w:rsidR="003C1C5E" w:rsidRDefault="003C1C5E" w:rsidP="003C1C5E">
      <w:pPr>
        <w:jc w:val="both"/>
        <w:rPr>
          <w:sz w:val="32"/>
          <w:szCs w:val="32"/>
        </w:rPr>
      </w:pPr>
      <w:r w:rsidRPr="00733358">
        <w:rPr>
          <w:sz w:val="32"/>
          <w:szCs w:val="32"/>
        </w:rPr>
        <w:t>§2 Pour les dépenses</w:t>
      </w:r>
      <w:r w:rsidR="006654CA">
        <w:rPr>
          <w:sz w:val="32"/>
          <w:szCs w:val="32"/>
        </w:rPr>
        <w:t>, c’est plus compliqué. Il faut distinguer selon les sections.</w:t>
      </w:r>
    </w:p>
    <w:p w14:paraId="2EF294BD" w14:textId="52F2EC3F" w:rsidR="006654CA" w:rsidRDefault="006654CA" w:rsidP="006654CA">
      <w:pPr>
        <w:pStyle w:val="Paragraphedeliste"/>
        <w:numPr>
          <w:ilvl w:val="0"/>
          <w:numId w:val="5"/>
        </w:numPr>
        <w:jc w:val="both"/>
        <w:rPr>
          <w:sz w:val="32"/>
          <w:szCs w:val="32"/>
        </w:rPr>
      </w:pPr>
      <w:r>
        <w:rPr>
          <w:sz w:val="32"/>
          <w:szCs w:val="32"/>
        </w:rPr>
        <w:t>SF, on va appliquer un principe qui n’est pas un principe budgétaire mais un principe administratif : le principe de continuité des SP. Les autorisations de la SF de l’année précédente seront valables tant que le BP n’a pas été voté. Comment cela se passe-t-il ? chaque mois, on peut dépenser 1 douzième du total des autorisations accordées pour l’année précédente en SF (BP + DM + BS).</w:t>
      </w:r>
    </w:p>
    <w:p w14:paraId="4C5E1B68" w14:textId="7D34623B" w:rsidR="006654CA" w:rsidRPr="006654CA" w:rsidRDefault="006654CA" w:rsidP="006654CA">
      <w:pPr>
        <w:pStyle w:val="Paragraphedeliste"/>
        <w:numPr>
          <w:ilvl w:val="0"/>
          <w:numId w:val="5"/>
        </w:numPr>
        <w:jc w:val="both"/>
        <w:rPr>
          <w:sz w:val="32"/>
          <w:szCs w:val="32"/>
        </w:rPr>
      </w:pPr>
      <w:r>
        <w:rPr>
          <w:sz w:val="32"/>
          <w:szCs w:val="32"/>
        </w:rPr>
        <w:t xml:space="preserve">SI, on va distinguer au sein de la SI les dépenses obligatoires des autres. Pour les DO, elles pourront être engagées, liquidées et payées sans difficulté. Pour les dépenses non obligatoires (facultatives), on applique la règle du quart pour le bloc communal et les </w:t>
      </w:r>
      <w:proofErr w:type="spellStart"/>
      <w:r>
        <w:rPr>
          <w:sz w:val="32"/>
          <w:szCs w:val="32"/>
        </w:rPr>
        <w:t>départements.</w:t>
      </w:r>
      <w:proofErr w:type="spellEnd"/>
      <w:r>
        <w:rPr>
          <w:sz w:val="32"/>
          <w:szCs w:val="32"/>
        </w:rPr>
        <w:t xml:space="preserve"> Comment calcule-ton ? On prend le total des dépenses de la SI de l’année précédente, on retranche les DO de l’exercice, et ce qui reste est divisé par 4 et on a le droit de dépenser ce quart tant que le BP n’est pas voté. Pour les régions, on leur applique la règle du tiers. </w:t>
      </w:r>
    </w:p>
    <w:p w14:paraId="59117BAA" w14:textId="77777777" w:rsidR="003C1C5E" w:rsidRPr="00733358" w:rsidRDefault="003C1C5E" w:rsidP="003C1C5E">
      <w:pPr>
        <w:jc w:val="both"/>
        <w:rPr>
          <w:sz w:val="32"/>
          <w:szCs w:val="32"/>
        </w:rPr>
      </w:pPr>
    </w:p>
    <w:p w14:paraId="0EC1FB2F" w14:textId="47821715" w:rsidR="003C1C5E" w:rsidRPr="00733358" w:rsidRDefault="003C1C5E" w:rsidP="006654CA">
      <w:pPr>
        <w:shd w:val="clear" w:color="auto" w:fill="92D050"/>
        <w:jc w:val="both"/>
        <w:rPr>
          <w:sz w:val="32"/>
          <w:szCs w:val="32"/>
        </w:rPr>
      </w:pPr>
      <w:r w:rsidRPr="00733358">
        <w:rPr>
          <w:sz w:val="32"/>
          <w:szCs w:val="32"/>
        </w:rPr>
        <w:t>C/ Les exceptions pour l</w:t>
      </w:r>
      <w:r w:rsidR="006654CA">
        <w:rPr>
          <w:sz w:val="32"/>
          <w:szCs w:val="32"/>
        </w:rPr>
        <w:t>a</w:t>
      </w:r>
      <w:r w:rsidRPr="00733358">
        <w:rPr>
          <w:sz w:val="32"/>
          <w:szCs w:val="32"/>
        </w:rPr>
        <w:t xml:space="preserve"> SI</w:t>
      </w:r>
    </w:p>
    <w:p w14:paraId="42CDE60F" w14:textId="77777777" w:rsidR="003C1C5E" w:rsidRPr="00733358" w:rsidRDefault="003C1C5E" w:rsidP="003C1C5E">
      <w:pPr>
        <w:jc w:val="both"/>
        <w:rPr>
          <w:sz w:val="32"/>
          <w:szCs w:val="32"/>
        </w:rPr>
      </w:pPr>
      <w:r w:rsidRPr="00733358">
        <w:rPr>
          <w:sz w:val="32"/>
          <w:szCs w:val="32"/>
        </w:rPr>
        <w:t>Au sein d’une CT, il existe toujours un PPI</w:t>
      </w:r>
    </w:p>
    <w:p w14:paraId="6FFF98D3" w14:textId="356DE2AA" w:rsidR="003C1C5E" w:rsidRPr="00733358" w:rsidRDefault="003C1C5E" w:rsidP="003C1C5E">
      <w:pPr>
        <w:jc w:val="both"/>
        <w:rPr>
          <w:sz w:val="32"/>
          <w:szCs w:val="32"/>
        </w:rPr>
      </w:pPr>
      <w:r w:rsidRPr="00733358">
        <w:rPr>
          <w:sz w:val="32"/>
          <w:szCs w:val="32"/>
        </w:rPr>
        <w:t>§1 Les reports de crédits, méthode traditionnelle</w:t>
      </w:r>
      <w:r w:rsidR="00B82758">
        <w:rPr>
          <w:sz w:val="32"/>
          <w:szCs w:val="32"/>
        </w:rPr>
        <w:t xml:space="preserve"> : c’est simple à comprendre : si en fin d’année des crédits de la SI sont encore disponibles, on pourra les reporter sur l’année suivante. Ce qui permettra de réaliser des investissements supplémentaires. On appelle cela les restes à réaliser. Un report de crédits doit respecter impérativement deux conditions : 1 seul l’ordonnateur peut décider d’un report. 2 seule une dépense qui a déjà été engagée avant le 31 décembre pourra être reportée. </w:t>
      </w:r>
    </w:p>
    <w:p w14:paraId="3B96CC84" w14:textId="5D2CD04D" w:rsidR="003C1C5E" w:rsidRPr="00733358" w:rsidRDefault="003C1C5E" w:rsidP="003C1C5E">
      <w:pPr>
        <w:jc w:val="both"/>
        <w:rPr>
          <w:sz w:val="32"/>
          <w:szCs w:val="32"/>
        </w:rPr>
      </w:pPr>
      <w:r w:rsidRPr="00733358">
        <w:rPr>
          <w:sz w:val="32"/>
          <w:szCs w:val="32"/>
        </w:rPr>
        <w:t>§2 Les AP/CP depuis la Loi du 6 février 1992</w:t>
      </w:r>
      <w:r w:rsidR="00E34307">
        <w:rPr>
          <w:sz w:val="32"/>
          <w:szCs w:val="32"/>
        </w:rPr>
        <w:t xml:space="preserve"> ce sont des autorisations valables pour plusieurs années. </w:t>
      </w:r>
    </w:p>
    <w:p w14:paraId="2330B328" w14:textId="77777777" w:rsidR="003C1C5E" w:rsidRPr="00733358" w:rsidRDefault="003C1C5E" w:rsidP="003C1C5E">
      <w:pPr>
        <w:jc w:val="both"/>
        <w:rPr>
          <w:sz w:val="32"/>
          <w:szCs w:val="32"/>
        </w:rPr>
      </w:pPr>
    </w:p>
    <w:p w14:paraId="1E55B8C9" w14:textId="77777777" w:rsidR="003C1C5E" w:rsidRPr="00733358" w:rsidRDefault="003C1C5E" w:rsidP="00E34307">
      <w:pPr>
        <w:shd w:val="clear" w:color="auto" w:fill="FFC000"/>
        <w:jc w:val="both"/>
        <w:rPr>
          <w:sz w:val="32"/>
          <w:szCs w:val="32"/>
        </w:rPr>
      </w:pPr>
      <w:r w:rsidRPr="00733358">
        <w:rPr>
          <w:sz w:val="32"/>
          <w:szCs w:val="32"/>
        </w:rPr>
        <w:t>D/ Les exceptions pour la SF</w:t>
      </w:r>
    </w:p>
    <w:p w14:paraId="599EB3C9" w14:textId="1B400A98" w:rsidR="003C1C5E" w:rsidRDefault="003C1C5E" w:rsidP="003C1C5E">
      <w:pPr>
        <w:jc w:val="both"/>
        <w:rPr>
          <w:sz w:val="32"/>
          <w:szCs w:val="32"/>
        </w:rPr>
      </w:pPr>
      <w:r w:rsidRPr="00733358">
        <w:rPr>
          <w:sz w:val="32"/>
          <w:szCs w:val="32"/>
        </w:rPr>
        <w:t>§1 La journée complémentaire accorde une rallonge d’un mois</w:t>
      </w:r>
    </w:p>
    <w:p w14:paraId="02E31CEC" w14:textId="3CAD4D7E" w:rsidR="00E34307" w:rsidRPr="00733358" w:rsidRDefault="00E34307" w:rsidP="003C1C5E">
      <w:pPr>
        <w:jc w:val="both"/>
        <w:rPr>
          <w:sz w:val="32"/>
          <w:szCs w:val="32"/>
        </w:rPr>
      </w:pPr>
      <w:r>
        <w:rPr>
          <w:sz w:val="32"/>
          <w:szCs w:val="32"/>
        </w:rPr>
        <w:t xml:space="preserve">C’est une fiction par laquelle la journée du 31 décembre se prolonge artificiellement jusqu’au 31 janvier de l’année suivante. Elle joue indistinctement pour les recettes et les dépenses mais dans la pratique c’est surtout pour les dépenses afin d’éviter la pratique des factures dans les tiroirs. Pour des dépenses dont les services faits ont été accomplis avant le 31 décembre, même si la facture arrive en janvier, on paiera la dépense en la rattachant à la bonne année et non pas à la nouvelle année. C’est une souplesse qui permet de mieux respecter le cadre annuel. </w:t>
      </w:r>
    </w:p>
    <w:p w14:paraId="38640BC6" w14:textId="230555B6" w:rsidR="003C1C5E" w:rsidRPr="00733358" w:rsidRDefault="003C1C5E" w:rsidP="003C1C5E">
      <w:pPr>
        <w:jc w:val="both"/>
        <w:rPr>
          <w:sz w:val="32"/>
          <w:szCs w:val="32"/>
        </w:rPr>
      </w:pPr>
      <w:r w:rsidRPr="00733358">
        <w:rPr>
          <w:sz w:val="32"/>
          <w:szCs w:val="32"/>
        </w:rPr>
        <w:t>§2 Les AE/CP depuis l’ordonnance du 26 août 2005</w:t>
      </w:r>
      <w:r w:rsidR="00E34307">
        <w:rPr>
          <w:sz w:val="32"/>
          <w:szCs w:val="32"/>
        </w:rPr>
        <w:t xml:space="preserve"> : ce texte a autorisé la pratique des AE pour la section de fonctionnement mais uniquement pour les dépenses contractuelles. </w:t>
      </w:r>
      <w:r w:rsidR="00845E0D">
        <w:rPr>
          <w:sz w:val="32"/>
          <w:szCs w:val="32"/>
        </w:rPr>
        <w:t xml:space="preserve">Cette méthode a moins de succès que les AP/CP car en fonctionnement les gestionnaires veulent conserver leur marge de manœuvre. </w:t>
      </w:r>
    </w:p>
    <w:p w14:paraId="71247807" w14:textId="77777777" w:rsidR="003C1C5E" w:rsidRPr="00733358" w:rsidRDefault="003C1C5E" w:rsidP="003C1C5E">
      <w:pPr>
        <w:jc w:val="both"/>
        <w:rPr>
          <w:sz w:val="32"/>
          <w:szCs w:val="32"/>
        </w:rPr>
      </w:pPr>
    </w:p>
    <w:p w14:paraId="4EBEEB23" w14:textId="77777777" w:rsidR="003C1C5E" w:rsidRPr="00733358" w:rsidRDefault="003C1C5E" w:rsidP="003C1C5E">
      <w:pPr>
        <w:jc w:val="both"/>
        <w:rPr>
          <w:sz w:val="32"/>
          <w:szCs w:val="32"/>
        </w:rPr>
      </w:pPr>
    </w:p>
    <w:p w14:paraId="0D4F78FB" w14:textId="16978FEC" w:rsidR="003C1C5E" w:rsidRPr="00733358" w:rsidRDefault="003C1C5E" w:rsidP="003C1C5E">
      <w:pPr>
        <w:jc w:val="both"/>
        <w:rPr>
          <w:b/>
          <w:bCs/>
          <w:sz w:val="32"/>
          <w:szCs w:val="32"/>
          <w:u w:val="single"/>
        </w:rPr>
      </w:pPr>
      <w:r w:rsidRPr="00733358">
        <w:rPr>
          <w:b/>
          <w:bCs/>
          <w:sz w:val="32"/>
          <w:szCs w:val="32"/>
          <w:u w:val="single"/>
        </w:rPr>
        <w:t xml:space="preserve">Section </w:t>
      </w:r>
      <w:r w:rsidR="00074DF5">
        <w:rPr>
          <w:b/>
          <w:bCs/>
          <w:sz w:val="32"/>
          <w:szCs w:val="32"/>
          <w:u w:val="single"/>
        </w:rPr>
        <w:t>2</w:t>
      </w:r>
      <w:r w:rsidRPr="00733358">
        <w:rPr>
          <w:b/>
          <w:bCs/>
          <w:sz w:val="32"/>
          <w:szCs w:val="32"/>
          <w:u w:val="single"/>
        </w:rPr>
        <w:t xml:space="preserve"> Le principe d’universalité</w:t>
      </w:r>
    </w:p>
    <w:p w14:paraId="3CE0F1CD" w14:textId="77777777" w:rsidR="003C1C5E" w:rsidRPr="00733358" w:rsidRDefault="003C1C5E" w:rsidP="003C1C5E">
      <w:pPr>
        <w:jc w:val="both"/>
        <w:rPr>
          <w:sz w:val="32"/>
          <w:szCs w:val="32"/>
        </w:rPr>
      </w:pPr>
    </w:p>
    <w:p w14:paraId="1CA91D4B" w14:textId="77777777" w:rsidR="003C1C5E" w:rsidRPr="00733358" w:rsidRDefault="003C1C5E" w:rsidP="00845E0D">
      <w:pPr>
        <w:shd w:val="clear" w:color="auto" w:fill="FF0000"/>
        <w:jc w:val="both"/>
        <w:rPr>
          <w:sz w:val="32"/>
          <w:szCs w:val="32"/>
        </w:rPr>
      </w:pPr>
      <w:r w:rsidRPr="00733358">
        <w:rPr>
          <w:sz w:val="32"/>
          <w:szCs w:val="32"/>
        </w:rPr>
        <w:t>A/ La règle du produit brut</w:t>
      </w:r>
    </w:p>
    <w:p w14:paraId="1ED5753A" w14:textId="701DBB87" w:rsidR="003C1C5E" w:rsidRPr="00733358" w:rsidRDefault="003C1C5E" w:rsidP="003C1C5E">
      <w:pPr>
        <w:jc w:val="both"/>
        <w:rPr>
          <w:sz w:val="32"/>
          <w:szCs w:val="32"/>
        </w:rPr>
      </w:pPr>
      <w:r w:rsidRPr="00733358">
        <w:rPr>
          <w:sz w:val="32"/>
          <w:szCs w:val="32"/>
        </w:rPr>
        <w:t>§1 Principe</w:t>
      </w:r>
      <w:r w:rsidR="00845E0D">
        <w:rPr>
          <w:sz w:val="32"/>
          <w:szCs w:val="32"/>
        </w:rPr>
        <w:t xml:space="preserve"> : elle signifie que tous les chiffres du budget doivent être des chiffres bruts et non des chiffres nets. Ce qui signifie qu’il est interdit de contracter les dépenses et les recettes, il est interdit de les compenser car le budget doit strictement séparer les R et les D. On achète un véhicule 10 000 et on bénéficie d’une reprise pour 2 000, même si on ne paye que 8 000 au concessionnaire, on devra inscrire les deux </w:t>
      </w:r>
      <w:proofErr w:type="gramStart"/>
      <w:r w:rsidR="00845E0D">
        <w:rPr>
          <w:sz w:val="32"/>
          <w:szCs w:val="32"/>
        </w:rPr>
        <w:t>sommes</w:t>
      </w:r>
      <w:proofErr w:type="gramEnd"/>
      <w:r w:rsidR="00845E0D">
        <w:rPr>
          <w:sz w:val="32"/>
          <w:szCs w:val="32"/>
        </w:rPr>
        <w:t xml:space="preserve"> en R et en D. Cette règle est très bien respectée dans les FL</w:t>
      </w:r>
    </w:p>
    <w:p w14:paraId="7DFF07A3" w14:textId="4D729E5C" w:rsidR="003C1C5E" w:rsidRPr="00733358" w:rsidRDefault="003C1C5E" w:rsidP="003C1C5E">
      <w:pPr>
        <w:jc w:val="both"/>
        <w:rPr>
          <w:sz w:val="32"/>
          <w:szCs w:val="32"/>
        </w:rPr>
      </w:pPr>
      <w:r w:rsidRPr="00733358">
        <w:rPr>
          <w:sz w:val="32"/>
          <w:szCs w:val="32"/>
        </w:rPr>
        <w:t>§2 Exceptions limitées</w:t>
      </w:r>
      <w:r w:rsidR="00845E0D">
        <w:rPr>
          <w:sz w:val="32"/>
          <w:szCs w:val="32"/>
        </w:rPr>
        <w:t xml:space="preserve"> : pour les produits du domaine qui sont utilisés directement par les services. </w:t>
      </w:r>
    </w:p>
    <w:p w14:paraId="3BD4E2B0" w14:textId="77777777" w:rsidR="003C1C5E" w:rsidRPr="00733358" w:rsidRDefault="003C1C5E" w:rsidP="003C1C5E">
      <w:pPr>
        <w:jc w:val="both"/>
        <w:rPr>
          <w:sz w:val="32"/>
          <w:szCs w:val="32"/>
        </w:rPr>
      </w:pPr>
    </w:p>
    <w:p w14:paraId="7109581F" w14:textId="77777777" w:rsidR="003C1C5E" w:rsidRPr="00733358" w:rsidRDefault="003C1C5E" w:rsidP="00845E0D">
      <w:pPr>
        <w:shd w:val="clear" w:color="auto" w:fill="92D050"/>
        <w:jc w:val="both"/>
        <w:rPr>
          <w:sz w:val="32"/>
          <w:szCs w:val="32"/>
        </w:rPr>
      </w:pPr>
      <w:r w:rsidRPr="00733358">
        <w:rPr>
          <w:sz w:val="32"/>
          <w:szCs w:val="32"/>
        </w:rPr>
        <w:t>B/ La règle de non affectation des recettes</w:t>
      </w:r>
    </w:p>
    <w:p w14:paraId="0E868378" w14:textId="3797FB0B" w:rsidR="003C1C5E" w:rsidRPr="00733358" w:rsidRDefault="003C1C5E" w:rsidP="003C1C5E">
      <w:pPr>
        <w:jc w:val="both"/>
        <w:rPr>
          <w:sz w:val="32"/>
          <w:szCs w:val="32"/>
        </w:rPr>
      </w:pPr>
      <w:r w:rsidRPr="00733358">
        <w:rPr>
          <w:sz w:val="32"/>
          <w:szCs w:val="32"/>
        </w:rPr>
        <w:t>§1 Principe</w:t>
      </w:r>
      <w:r w:rsidR="00845E0D">
        <w:rPr>
          <w:sz w:val="32"/>
          <w:szCs w:val="32"/>
        </w:rPr>
        <w:t xml:space="preserve"> : les recettes constituent une masse unique et indifférenciée sur laquelle vont s’imputer indistinctement toutes les dépenses. Il y a ici l’idée d’égalité devant les impôts et d’égalité devant les charges publiques. </w:t>
      </w:r>
    </w:p>
    <w:p w14:paraId="596E3CC7" w14:textId="77777777" w:rsidR="003C1C5E" w:rsidRPr="00733358" w:rsidRDefault="003C1C5E" w:rsidP="003C1C5E">
      <w:pPr>
        <w:jc w:val="both"/>
        <w:rPr>
          <w:sz w:val="32"/>
          <w:szCs w:val="32"/>
        </w:rPr>
      </w:pPr>
      <w:r w:rsidRPr="00733358">
        <w:rPr>
          <w:sz w:val="32"/>
          <w:szCs w:val="32"/>
        </w:rPr>
        <w:t xml:space="preserve">§2 Exceptions : </w:t>
      </w:r>
    </w:p>
    <w:p w14:paraId="751E823F" w14:textId="77777777" w:rsidR="003C1C5E" w:rsidRPr="00733358" w:rsidRDefault="003C1C5E" w:rsidP="00027306">
      <w:pPr>
        <w:pStyle w:val="Paragraphedeliste"/>
        <w:numPr>
          <w:ilvl w:val="0"/>
          <w:numId w:val="2"/>
        </w:numPr>
        <w:shd w:val="clear" w:color="auto" w:fill="92D050"/>
        <w:jc w:val="both"/>
        <w:rPr>
          <w:sz w:val="32"/>
          <w:szCs w:val="32"/>
        </w:rPr>
      </w:pPr>
      <w:r w:rsidRPr="00733358">
        <w:rPr>
          <w:sz w:val="32"/>
          <w:szCs w:val="32"/>
        </w:rPr>
        <w:t>Budgets annexes</w:t>
      </w:r>
    </w:p>
    <w:p w14:paraId="2E779091" w14:textId="7ABA1802" w:rsidR="003C1C5E" w:rsidRPr="00733358" w:rsidRDefault="003C1C5E" w:rsidP="00027306">
      <w:pPr>
        <w:pStyle w:val="Paragraphedeliste"/>
        <w:numPr>
          <w:ilvl w:val="0"/>
          <w:numId w:val="2"/>
        </w:numPr>
        <w:shd w:val="clear" w:color="auto" w:fill="92D050"/>
        <w:jc w:val="both"/>
        <w:rPr>
          <w:sz w:val="32"/>
          <w:szCs w:val="32"/>
        </w:rPr>
      </w:pPr>
      <w:r w:rsidRPr="00733358">
        <w:rPr>
          <w:sz w:val="32"/>
          <w:szCs w:val="32"/>
        </w:rPr>
        <w:t>Fonds de concours</w:t>
      </w:r>
      <w:r w:rsidR="00027306">
        <w:rPr>
          <w:sz w:val="32"/>
          <w:szCs w:val="32"/>
        </w:rPr>
        <w:t xml:space="preserve"> (intention de la partie versante) </w:t>
      </w:r>
    </w:p>
    <w:p w14:paraId="3BF1D0E2" w14:textId="77777777" w:rsidR="003C1C5E" w:rsidRPr="00733358" w:rsidRDefault="003C1C5E" w:rsidP="00027306">
      <w:pPr>
        <w:pStyle w:val="Paragraphedeliste"/>
        <w:numPr>
          <w:ilvl w:val="0"/>
          <w:numId w:val="2"/>
        </w:numPr>
        <w:shd w:val="clear" w:color="auto" w:fill="92D050"/>
        <w:jc w:val="both"/>
        <w:rPr>
          <w:sz w:val="32"/>
          <w:szCs w:val="32"/>
        </w:rPr>
      </w:pPr>
      <w:r w:rsidRPr="00733358">
        <w:rPr>
          <w:sz w:val="32"/>
          <w:szCs w:val="32"/>
        </w:rPr>
        <w:t>Produits d’emprunts</w:t>
      </w:r>
    </w:p>
    <w:p w14:paraId="46E74F82" w14:textId="77777777" w:rsidR="003C1C5E" w:rsidRPr="00733358" w:rsidRDefault="003C1C5E" w:rsidP="00027306">
      <w:pPr>
        <w:pStyle w:val="Paragraphedeliste"/>
        <w:numPr>
          <w:ilvl w:val="0"/>
          <w:numId w:val="2"/>
        </w:numPr>
        <w:shd w:val="clear" w:color="auto" w:fill="92D050"/>
        <w:jc w:val="both"/>
        <w:rPr>
          <w:sz w:val="32"/>
          <w:szCs w:val="32"/>
        </w:rPr>
      </w:pPr>
      <w:r w:rsidRPr="00733358">
        <w:rPr>
          <w:sz w:val="32"/>
          <w:szCs w:val="32"/>
        </w:rPr>
        <w:t>Recettes affectées au sein de la SI</w:t>
      </w:r>
    </w:p>
    <w:p w14:paraId="32E20D29" w14:textId="77777777" w:rsidR="003C1C5E" w:rsidRPr="00733358" w:rsidRDefault="003C1C5E" w:rsidP="00027306">
      <w:pPr>
        <w:pStyle w:val="Paragraphedeliste"/>
        <w:numPr>
          <w:ilvl w:val="0"/>
          <w:numId w:val="2"/>
        </w:numPr>
        <w:shd w:val="clear" w:color="auto" w:fill="92D050"/>
        <w:jc w:val="both"/>
        <w:rPr>
          <w:sz w:val="32"/>
          <w:szCs w:val="32"/>
        </w:rPr>
      </w:pPr>
      <w:r w:rsidRPr="00733358">
        <w:rPr>
          <w:sz w:val="32"/>
          <w:szCs w:val="32"/>
        </w:rPr>
        <w:t>Virement de la SF sur la SI</w:t>
      </w:r>
    </w:p>
    <w:p w14:paraId="251FBD0E" w14:textId="77777777" w:rsidR="003C1C5E" w:rsidRPr="00733358" w:rsidRDefault="003C1C5E" w:rsidP="003C1C5E">
      <w:pPr>
        <w:jc w:val="both"/>
        <w:rPr>
          <w:sz w:val="32"/>
          <w:szCs w:val="32"/>
        </w:rPr>
      </w:pPr>
    </w:p>
    <w:p w14:paraId="4DA48FC9" w14:textId="71279756" w:rsidR="003C1C5E" w:rsidRPr="00733358" w:rsidRDefault="003C1C5E" w:rsidP="003C1C5E">
      <w:pPr>
        <w:jc w:val="both"/>
        <w:rPr>
          <w:b/>
          <w:bCs/>
          <w:sz w:val="32"/>
          <w:szCs w:val="32"/>
          <w:u w:val="single"/>
        </w:rPr>
      </w:pPr>
      <w:r w:rsidRPr="00733358">
        <w:rPr>
          <w:b/>
          <w:bCs/>
          <w:sz w:val="32"/>
          <w:szCs w:val="32"/>
          <w:u w:val="single"/>
        </w:rPr>
        <w:t xml:space="preserve">Section </w:t>
      </w:r>
      <w:r w:rsidR="00074DF5">
        <w:rPr>
          <w:b/>
          <w:bCs/>
          <w:sz w:val="32"/>
          <w:szCs w:val="32"/>
          <w:u w:val="single"/>
        </w:rPr>
        <w:t>3</w:t>
      </w:r>
      <w:r w:rsidRPr="00733358">
        <w:rPr>
          <w:b/>
          <w:bCs/>
          <w:sz w:val="32"/>
          <w:szCs w:val="32"/>
          <w:u w:val="single"/>
        </w:rPr>
        <w:t xml:space="preserve"> Le principe de spécialité</w:t>
      </w:r>
    </w:p>
    <w:p w14:paraId="3D2CF9B9" w14:textId="77777777" w:rsidR="003C1C5E" w:rsidRPr="00733358" w:rsidRDefault="003C1C5E" w:rsidP="003C1C5E">
      <w:pPr>
        <w:jc w:val="both"/>
        <w:rPr>
          <w:sz w:val="32"/>
          <w:szCs w:val="32"/>
        </w:rPr>
      </w:pPr>
    </w:p>
    <w:p w14:paraId="0174F0AC" w14:textId="77777777" w:rsidR="003C1C5E" w:rsidRPr="00733358" w:rsidRDefault="003C1C5E" w:rsidP="00027306">
      <w:pPr>
        <w:shd w:val="clear" w:color="auto" w:fill="FFFF00"/>
        <w:jc w:val="both"/>
        <w:rPr>
          <w:sz w:val="32"/>
          <w:szCs w:val="32"/>
        </w:rPr>
      </w:pPr>
      <w:r w:rsidRPr="00733358">
        <w:rPr>
          <w:sz w:val="32"/>
          <w:szCs w:val="32"/>
        </w:rPr>
        <w:t>A/ Au stade du vote</w:t>
      </w:r>
    </w:p>
    <w:p w14:paraId="7E41AE61" w14:textId="77777777" w:rsidR="003C1C5E" w:rsidRDefault="003C1C5E" w:rsidP="003C1C5E">
      <w:pPr>
        <w:pStyle w:val="Titre2"/>
        <w:shd w:val="clear" w:color="auto" w:fill="FFFFFF"/>
        <w:spacing w:before="0" w:beforeAutospacing="0" w:after="120" w:afterAutospacing="0"/>
        <w:rPr>
          <w:rFonts w:ascii="Arial" w:hAnsi="Arial" w:cs="Arial"/>
          <w:color w:val="4A5E81"/>
          <w:sz w:val="21"/>
          <w:szCs w:val="21"/>
        </w:rPr>
      </w:pPr>
      <w:r w:rsidRPr="00F46D86">
        <w:rPr>
          <w:rFonts w:asciiTheme="minorHAnsi" w:hAnsiTheme="minorHAnsi"/>
          <w:b w:val="0"/>
          <w:sz w:val="32"/>
          <w:szCs w:val="32"/>
        </w:rPr>
        <w:t>§1 La règle :</w:t>
      </w:r>
      <w:r>
        <w:rPr>
          <w:sz w:val="32"/>
          <w:szCs w:val="32"/>
        </w:rPr>
        <w:t xml:space="preserve"> </w:t>
      </w:r>
      <w:r>
        <w:rPr>
          <w:rFonts w:ascii="Arial" w:hAnsi="Arial" w:cs="Arial"/>
          <w:color w:val="4A5E81"/>
          <w:sz w:val="21"/>
          <w:szCs w:val="21"/>
        </w:rPr>
        <w:t>Article L2312-2 CGCT</w:t>
      </w:r>
    </w:p>
    <w:p w14:paraId="38CBAC69" w14:textId="77777777" w:rsidR="003C1C5E" w:rsidRDefault="003C1C5E" w:rsidP="003C1C5E">
      <w:pPr>
        <w:pStyle w:val="NormalWeb"/>
        <w:shd w:val="clear" w:color="auto" w:fill="FFFFFF"/>
        <w:spacing w:before="0" w:beforeAutospacing="0" w:after="240" w:afterAutospacing="0"/>
        <w:rPr>
          <w:rFonts w:ascii="Arial" w:hAnsi="Arial" w:cs="Arial"/>
          <w:color w:val="3C3C3C"/>
          <w:sz w:val="21"/>
          <w:szCs w:val="21"/>
        </w:rPr>
      </w:pPr>
      <w:r>
        <w:rPr>
          <w:rFonts w:ascii="Arial" w:hAnsi="Arial" w:cs="Arial"/>
          <w:color w:val="3C3C3C"/>
          <w:sz w:val="21"/>
          <w:szCs w:val="21"/>
        </w:rPr>
        <w:t>Les crédits sont votés par chapitre et, si le conseil municipal en décide ainsi, par article.</w:t>
      </w:r>
    </w:p>
    <w:p w14:paraId="78A2102F" w14:textId="77777777" w:rsidR="003C1C5E" w:rsidRDefault="003C1C5E" w:rsidP="003C1C5E">
      <w:pPr>
        <w:pStyle w:val="NormalWeb"/>
        <w:shd w:val="clear" w:color="auto" w:fill="FFFFFF"/>
        <w:spacing w:before="0" w:beforeAutospacing="0" w:after="240" w:afterAutospacing="0"/>
        <w:jc w:val="both"/>
        <w:rPr>
          <w:rFonts w:ascii="Arial" w:hAnsi="Arial" w:cs="Arial"/>
          <w:color w:val="3C3C3C"/>
          <w:sz w:val="21"/>
          <w:szCs w:val="21"/>
        </w:rPr>
      </w:pPr>
      <w:r>
        <w:rPr>
          <w:rFonts w:ascii="Arial" w:hAnsi="Arial" w:cs="Arial"/>
          <w:color w:val="3C3C3C"/>
          <w:sz w:val="21"/>
          <w:szCs w:val="21"/>
        </w:rPr>
        <w:t xml:space="preserve">Le budget local est divisé en deux sections, chaque section est-elle-même divisée en chapitres budgétaires, puis les chapitres sont subdivisés en articles. Les articles sont ensuite répartis en lignes ou postes budgétaires qui correspondent aux comptes. Cette présentation est le plus souvent classée par nature. Si le Budget est voté par chapitre, le principe de spécialité des dépenses s’appliquera à chaque chapitre. Tout chapitre voté pourra être dépensé librement par l’ordonnateur. En revanche si le budget est voté par article, l’ordonnateur devra respecter la répartition au niveau le plus fin. </w:t>
      </w:r>
    </w:p>
    <w:p w14:paraId="7C53C552" w14:textId="77777777" w:rsidR="003C1C5E" w:rsidRPr="00733358" w:rsidRDefault="003C1C5E" w:rsidP="003C1C5E">
      <w:pPr>
        <w:jc w:val="both"/>
        <w:rPr>
          <w:sz w:val="32"/>
          <w:szCs w:val="32"/>
        </w:rPr>
      </w:pPr>
    </w:p>
    <w:p w14:paraId="34C5CA82" w14:textId="77777777" w:rsidR="003C1C5E" w:rsidRDefault="003C1C5E" w:rsidP="003C1C5E">
      <w:pPr>
        <w:jc w:val="both"/>
        <w:rPr>
          <w:sz w:val="32"/>
          <w:szCs w:val="32"/>
        </w:rPr>
      </w:pPr>
      <w:r w:rsidRPr="00733358">
        <w:rPr>
          <w:sz w:val="32"/>
          <w:szCs w:val="32"/>
        </w:rPr>
        <w:t>§2 L’exception résultant de la jurisprudence</w:t>
      </w:r>
      <w:r>
        <w:rPr>
          <w:sz w:val="32"/>
          <w:szCs w:val="32"/>
        </w:rPr>
        <w:t xml:space="preserve"> CE 18 mars 1994, Commune de Cestas, Rec. p. 147</w:t>
      </w:r>
    </w:p>
    <w:p w14:paraId="22F6B079" w14:textId="77777777" w:rsidR="003C1C5E" w:rsidRDefault="003C1C5E" w:rsidP="003C1C5E">
      <w:pPr>
        <w:jc w:val="both"/>
        <w:rPr>
          <w:sz w:val="32"/>
          <w:szCs w:val="32"/>
        </w:rPr>
      </w:pPr>
      <w:hyperlink r:id="rId13" w:history="1">
        <w:r w:rsidRPr="003D33F9">
          <w:rPr>
            <w:rStyle w:val="Lienhypertexte"/>
            <w:sz w:val="32"/>
            <w:szCs w:val="32"/>
          </w:rPr>
          <w:t>https://www.legifrance.gouv.fr/ceta/id/CETATEXT000007835636</w:t>
        </w:r>
      </w:hyperlink>
    </w:p>
    <w:p w14:paraId="6CDCE43A" w14:textId="77777777" w:rsidR="003C1C5E" w:rsidRDefault="003C1C5E" w:rsidP="003C1C5E">
      <w:pPr>
        <w:jc w:val="both"/>
        <w:rPr>
          <w:sz w:val="32"/>
          <w:szCs w:val="32"/>
        </w:rPr>
      </w:pPr>
      <w:hyperlink r:id="rId14" w:history="1">
        <w:r w:rsidRPr="003D33F9">
          <w:rPr>
            <w:rStyle w:val="Lienhypertexte"/>
            <w:sz w:val="32"/>
            <w:szCs w:val="32"/>
          </w:rPr>
          <w:t>https://questions.assemblee-nationale.fr/q12/12-20132QE.htm</w:t>
        </w:r>
      </w:hyperlink>
    </w:p>
    <w:p w14:paraId="712C6FD7" w14:textId="77777777" w:rsidR="003C1C5E" w:rsidRDefault="003C1C5E" w:rsidP="003C1C5E">
      <w:pPr>
        <w:jc w:val="both"/>
        <w:rPr>
          <w:sz w:val="32"/>
          <w:szCs w:val="32"/>
        </w:rPr>
      </w:pPr>
      <w:hyperlink r:id="rId15" w:history="1">
        <w:r w:rsidRPr="003D33F9">
          <w:rPr>
            <w:rStyle w:val="Lienhypertexte"/>
            <w:sz w:val="32"/>
            <w:szCs w:val="32"/>
          </w:rPr>
          <w:t>http://rjc.fr.eu.org/vote-du-budget-communal-1/</w:t>
        </w:r>
      </w:hyperlink>
    </w:p>
    <w:p w14:paraId="50CB852A" w14:textId="77777777" w:rsidR="003C1C5E" w:rsidRDefault="003C1C5E" w:rsidP="003C1C5E">
      <w:pPr>
        <w:jc w:val="both"/>
        <w:rPr>
          <w:sz w:val="32"/>
          <w:szCs w:val="32"/>
        </w:rPr>
      </w:pPr>
    </w:p>
    <w:p w14:paraId="2AC0720D" w14:textId="77777777" w:rsidR="003C1C5E" w:rsidRPr="00733358" w:rsidRDefault="003C1C5E" w:rsidP="003C1C5E">
      <w:pPr>
        <w:jc w:val="both"/>
        <w:rPr>
          <w:sz w:val="32"/>
          <w:szCs w:val="32"/>
        </w:rPr>
      </w:pPr>
      <w:r>
        <w:rPr>
          <w:sz w:val="32"/>
          <w:szCs w:val="32"/>
        </w:rPr>
        <w:t>Les conditions fixées par la jurisprudence : la majorité doit être d’accord avec cette procédure de vote par section et cette majorité doit être constatée au PV par le président de séance.</w:t>
      </w:r>
    </w:p>
    <w:p w14:paraId="33E435BD" w14:textId="77777777" w:rsidR="003C1C5E" w:rsidRPr="00733358" w:rsidRDefault="003C1C5E" w:rsidP="003C1C5E">
      <w:pPr>
        <w:jc w:val="both"/>
        <w:rPr>
          <w:sz w:val="32"/>
          <w:szCs w:val="32"/>
        </w:rPr>
      </w:pPr>
    </w:p>
    <w:p w14:paraId="54EE6568" w14:textId="77777777" w:rsidR="003C1C5E" w:rsidRPr="00733358" w:rsidRDefault="003C1C5E" w:rsidP="00027306">
      <w:pPr>
        <w:shd w:val="clear" w:color="auto" w:fill="FFFF00"/>
        <w:jc w:val="both"/>
        <w:rPr>
          <w:sz w:val="32"/>
          <w:szCs w:val="32"/>
        </w:rPr>
      </w:pPr>
      <w:r w:rsidRPr="00733358">
        <w:rPr>
          <w:sz w:val="32"/>
          <w:szCs w:val="32"/>
        </w:rPr>
        <w:t>B/ Au stade de l’exécution</w:t>
      </w:r>
    </w:p>
    <w:p w14:paraId="58B52723" w14:textId="77777777" w:rsidR="003C1C5E" w:rsidRPr="00733358" w:rsidRDefault="003C1C5E" w:rsidP="003C1C5E">
      <w:pPr>
        <w:jc w:val="both"/>
        <w:rPr>
          <w:sz w:val="32"/>
          <w:szCs w:val="32"/>
        </w:rPr>
      </w:pPr>
      <w:r w:rsidRPr="00733358">
        <w:rPr>
          <w:sz w:val="32"/>
          <w:szCs w:val="32"/>
        </w:rPr>
        <w:t>§1 La théorie</w:t>
      </w:r>
      <w:r>
        <w:rPr>
          <w:sz w:val="32"/>
          <w:szCs w:val="32"/>
        </w:rPr>
        <w:t> : Le plus souvent, le budget est voté par chapitre ce qui permet à l’ordonnateur d’opérer des virements d’un article à l’autre sans avoir besoin de demander un vote de l’organe délibérant. En revanche, s’il veut virer des crédits d’un chapitre à un autre, il doit demander l’autorisation de l’organe délibérant (DM). On pense que le principe de spécialité est respecté puisque le budget est réparti chapitre par chapitre et que chaque chapitre est spécialisé.</w:t>
      </w:r>
    </w:p>
    <w:p w14:paraId="38AB5A2F" w14:textId="77777777" w:rsidR="003C1C5E" w:rsidRDefault="003C1C5E" w:rsidP="003C1C5E">
      <w:pPr>
        <w:jc w:val="both"/>
        <w:rPr>
          <w:sz w:val="32"/>
          <w:szCs w:val="32"/>
        </w:rPr>
      </w:pPr>
    </w:p>
    <w:p w14:paraId="20AF8934" w14:textId="77777777" w:rsidR="003C1C5E" w:rsidRDefault="003C1C5E" w:rsidP="003C1C5E">
      <w:pPr>
        <w:jc w:val="both"/>
        <w:rPr>
          <w:sz w:val="32"/>
          <w:szCs w:val="32"/>
        </w:rPr>
      </w:pPr>
      <w:r w:rsidRPr="00733358">
        <w:rPr>
          <w:sz w:val="32"/>
          <w:szCs w:val="32"/>
        </w:rPr>
        <w:t>§2 La pratique</w:t>
      </w:r>
      <w:r>
        <w:rPr>
          <w:sz w:val="32"/>
          <w:szCs w:val="32"/>
        </w:rPr>
        <w:t> : les instructions budgétaires et le législateur ont créé des chapitres qui ne sont pas spécialisés :</w:t>
      </w:r>
    </w:p>
    <w:p w14:paraId="092F585A" w14:textId="77777777" w:rsidR="003C1C5E" w:rsidRDefault="003C1C5E" w:rsidP="003C1C5E">
      <w:pPr>
        <w:jc w:val="both"/>
        <w:rPr>
          <w:sz w:val="32"/>
          <w:szCs w:val="32"/>
        </w:rPr>
      </w:pPr>
      <w:r>
        <w:rPr>
          <w:sz w:val="32"/>
          <w:szCs w:val="32"/>
        </w:rPr>
        <w:t>a) les chapitres pour dépenses imprévues : art L. 2322-1 CGCT</w:t>
      </w:r>
    </w:p>
    <w:p w14:paraId="785D1A9B" w14:textId="77777777" w:rsidR="003C1C5E" w:rsidRDefault="003C1C5E" w:rsidP="003C1C5E">
      <w:pPr>
        <w:jc w:val="both"/>
        <w:rPr>
          <w:sz w:val="32"/>
          <w:szCs w:val="32"/>
        </w:rPr>
      </w:pPr>
      <w:hyperlink r:id="rId16" w:history="1">
        <w:r w:rsidRPr="003D33F9">
          <w:rPr>
            <w:rStyle w:val="Lienhypertexte"/>
            <w:sz w:val="32"/>
            <w:szCs w:val="32"/>
          </w:rPr>
          <w:t>https://www.legifrance.gouv.fr/codes/article_lc/LEGIARTI000006390546/</w:t>
        </w:r>
      </w:hyperlink>
    </w:p>
    <w:p w14:paraId="26D2A911" w14:textId="77777777" w:rsidR="003C1C5E" w:rsidRDefault="003C1C5E" w:rsidP="003C1C5E">
      <w:pPr>
        <w:jc w:val="both"/>
        <w:rPr>
          <w:sz w:val="32"/>
          <w:szCs w:val="32"/>
        </w:rPr>
      </w:pPr>
    </w:p>
    <w:p w14:paraId="7AACB548" w14:textId="77777777" w:rsidR="003C1C5E" w:rsidRDefault="003C1C5E" w:rsidP="003C1C5E">
      <w:pPr>
        <w:jc w:val="both"/>
        <w:rPr>
          <w:sz w:val="32"/>
          <w:szCs w:val="32"/>
        </w:rPr>
      </w:pPr>
      <w:r>
        <w:rPr>
          <w:sz w:val="32"/>
          <w:szCs w:val="32"/>
        </w:rPr>
        <w:t xml:space="preserve">b) les chapitres globalisés </w:t>
      </w:r>
    </w:p>
    <w:p w14:paraId="4EB38FA1" w14:textId="77777777" w:rsidR="003C1C5E" w:rsidRDefault="003C1C5E" w:rsidP="003C1C5E">
      <w:pPr>
        <w:jc w:val="both"/>
        <w:rPr>
          <w:sz w:val="32"/>
          <w:szCs w:val="32"/>
        </w:rPr>
      </w:pPr>
      <w:hyperlink r:id="rId17" w:history="1">
        <w:r w:rsidRPr="003D33F9">
          <w:rPr>
            <w:rStyle w:val="Lienhypertexte"/>
            <w:sz w:val="32"/>
            <w:szCs w:val="32"/>
          </w:rPr>
          <w:t>https://www.collectivites-locales.gouv.fr/files/files/dgcl_v2/FLAE/FL3/04012021/m14_tome_ii_annexes_2021.pdf</w:t>
        </w:r>
      </w:hyperlink>
    </w:p>
    <w:p w14:paraId="5999F2B9" w14:textId="77777777" w:rsidR="003C1C5E" w:rsidRDefault="003C1C5E" w:rsidP="003C1C5E">
      <w:pPr>
        <w:jc w:val="both"/>
        <w:rPr>
          <w:sz w:val="32"/>
          <w:szCs w:val="32"/>
        </w:rPr>
      </w:pPr>
    </w:p>
    <w:p w14:paraId="020177E1" w14:textId="77777777" w:rsidR="003C1C5E" w:rsidRPr="00733358" w:rsidRDefault="003C1C5E" w:rsidP="003C1C5E">
      <w:pPr>
        <w:jc w:val="both"/>
        <w:rPr>
          <w:sz w:val="32"/>
          <w:szCs w:val="32"/>
        </w:rPr>
      </w:pPr>
      <w:r>
        <w:rPr>
          <w:sz w:val="32"/>
          <w:szCs w:val="32"/>
        </w:rPr>
        <w:lastRenderedPageBreak/>
        <w:t xml:space="preserve">c) les chapitres par opération : ils ne figurent que dans la section d’investissement </w:t>
      </w:r>
    </w:p>
    <w:p w14:paraId="0D60AFF5" w14:textId="77777777" w:rsidR="003C1C5E" w:rsidRPr="00733358" w:rsidRDefault="003C1C5E" w:rsidP="003C1C5E">
      <w:pPr>
        <w:jc w:val="both"/>
        <w:rPr>
          <w:sz w:val="32"/>
          <w:szCs w:val="32"/>
        </w:rPr>
      </w:pPr>
    </w:p>
    <w:p w14:paraId="514B0CD7" w14:textId="77777777" w:rsidR="003C1C5E" w:rsidRPr="00733358" w:rsidRDefault="003C1C5E" w:rsidP="003C1C5E">
      <w:pPr>
        <w:jc w:val="both"/>
        <w:rPr>
          <w:sz w:val="32"/>
          <w:szCs w:val="32"/>
        </w:rPr>
      </w:pPr>
    </w:p>
    <w:p w14:paraId="35231761" w14:textId="77777777" w:rsidR="003C1C5E" w:rsidRPr="00C4307F" w:rsidRDefault="003C1C5E" w:rsidP="00C4307F">
      <w:pPr>
        <w:pStyle w:val="NormalWeb"/>
        <w:shd w:val="clear" w:color="auto" w:fill="FFFFFF"/>
        <w:spacing w:before="0" w:beforeAutospacing="0" w:after="240" w:afterAutospacing="0"/>
        <w:jc w:val="both"/>
        <w:rPr>
          <w:rFonts w:ascii="Arial" w:hAnsi="Arial" w:cs="Arial"/>
          <w:color w:val="3C3C3C"/>
          <w:sz w:val="32"/>
          <w:szCs w:val="32"/>
        </w:rPr>
      </w:pPr>
    </w:p>
    <w:sectPr w:rsidR="003C1C5E" w:rsidRPr="00C4307F" w:rsidSect="00C4307F">
      <w:footerReference w:type="even" r:id="rId18"/>
      <w:footerReference w:type="default" r:id="rId19"/>
      <w:pgSz w:w="11900" w:h="16840"/>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815D5C" w14:textId="77777777" w:rsidR="00125F31" w:rsidRDefault="00125F31" w:rsidP="00930291">
      <w:r>
        <w:separator/>
      </w:r>
    </w:p>
  </w:endnote>
  <w:endnote w:type="continuationSeparator" w:id="0">
    <w:p w14:paraId="24B29DB4" w14:textId="77777777" w:rsidR="00125F31" w:rsidRDefault="00125F31" w:rsidP="009302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Numrodepage"/>
      </w:rPr>
      <w:id w:val="597526218"/>
      <w:docPartObj>
        <w:docPartGallery w:val="Page Numbers (Bottom of Page)"/>
        <w:docPartUnique/>
      </w:docPartObj>
    </w:sdtPr>
    <w:sdtEndPr>
      <w:rPr>
        <w:rStyle w:val="Numrodepage"/>
      </w:rPr>
    </w:sdtEndPr>
    <w:sdtContent>
      <w:p w14:paraId="152890C9" w14:textId="5498AD15" w:rsidR="00930291" w:rsidRDefault="00930291" w:rsidP="00554BEB">
        <w:pPr>
          <w:pStyle w:val="Pieddepage"/>
          <w:framePr w:wrap="none" w:vAnchor="text" w:hAnchor="margin" w:xAlign="center"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53A5A7F0" w14:textId="77777777" w:rsidR="00930291" w:rsidRDefault="00930291">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Numrodepage"/>
      </w:rPr>
      <w:id w:val="-774093783"/>
      <w:docPartObj>
        <w:docPartGallery w:val="Page Numbers (Bottom of Page)"/>
        <w:docPartUnique/>
      </w:docPartObj>
    </w:sdtPr>
    <w:sdtEndPr>
      <w:rPr>
        <w:rStyle w:val="Numrodepage"/>
      </w:rPr>
    </w:sdtEndPr>
    <w:sdtContent>
      <w:p w14:paraId="4DDAA1C2" w14:textId="2E7544FD" w:rsidR="00930291" w:rsidRDefault="00930291" w:rsidP="00554BEB">
        <w:pPr>
          <w:pStyle w:val="Pieddepage"/>
          <w:framePr w:wrap="none" w:vAnchor="text" w:hAnchor="margin" w:xAlign="center"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1</w:t>
        </w:r>
        <w:r>
          <w:rPr>
            <w:rStyle w:val="Numrodepage"/>
          </w:rPr>
          <w:fldChar w:fldCharType="end"/>
        </w:r>
      </w:p>
    </w:sdtContent>
  </w:sdt>
  <w:p w14:paraId="3BB29A6A" w14:textId="77777777" w:rsidR="00930291" w:rsidRDefault="0093029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05B135" w14:textId="77777777" w:rsidR="00125F31" w:rsidRDefault="00125F31" w:rsidP="00930291">
      <w:r>
        <w:separator/>
      </w:r>
    </w:p>
  </w:footnote>
  <w:footnote w:type="continuationSeparator" w:id="0">
    <w:p w14:paraId="22A330E1" w14:textId="77777777" w:rsidR="00125F31" w:rsidRDefault="00125F31" w:rsidP="009302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BE66E6D"/>
    <w:multiLevelType w:val="hybridMultilevel"/>
    <w:tmpl w:val="8390D4EC"/>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4D05780D"/>
    <w:multiLevelType w:val="hybridMultilevel"/>
    <w:tmpl w:val="63809B3E"/>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585F089F"/>
    <w:multiLevelType w:val="hybridMultilevel"/>
    <w:tmpl w:val="73F26F00"/>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60F72CA9"/>
    <w:multiLevelType w:val="hybridMultilevel"/>
    <w:tmpl w:val="425891A2"/>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7E9B6363"/>
    <w:multiLevelType w:val="hybridMultilevel"/>
    <w:tmpl w:val="031C9292"/>
    <w:lvl w:ilvl="0" w:tplc="040C0017">
      <w:start w:val="1"/>
      <w:numFmt w:val="lowerLetter"/>
      <w:lvlText w:val="%1)"/>
      <w:lvlJc w:val="left"/>
      <w:pPr>
        <w:ind w:left="36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4"/>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EAA"/>
    <w:rsid w:val="00003CE0"/>
    <w:rsid w:val="00027306"/>
    <w:rsid w:val="00061C0D"/>
    <w:rsid w:val="00074DF5"/>
    <w:rsid w:val="00087DF9"/>
    <w:rsid w:val="000B26FD"/>
    <w:rsid w:val="000B3CDA"/>
    <w:rsid w:val="000D3954"/>
    <w:rsid w:val="000E5B71"/>
    <w:rsid w:val="00125F31"/>
    <w:rsid w:val="00137EAA"/>
    <w:rsid w:val="001B1BD6"/>
    <w:rsid w:val="001E7060"/>
    <w:rsid w:val="002019FE"/>
    <w:rsid w:val="002034EB"/>
    <w:rsid w:val="002942FF"/>
    <w:rsid w:val="002D4C13"/>
    <w:rsid w:val="002E0AB3"/>
    <w:rsid w:val="0038190E"/>
    <w:rsid w:val="00386743"/>
    <w:rsid w:val="003C1C5E"/>
    <w:rsid w:val="004621E6"/>
    <w:rsid w:val="004C0757"/>
    <w:rsid w:val="005056E6"/>
    <w:rsid w:val="005723B2"/>
    <w:rsid w:val="00633FDC"/>
    <w:rsid w:val="00641844"/>
    <w:rsid w:val="006654CA"/>
    <w:rsid w:val="007B4507"/>
    <w:rsid w:val="00845E0D"/>
    <w:rsid w:val="00895E66"/>
    <w:rsid w:val="008C6636"/>
    <w:rsid w:val="009027B6"/>
    <w:rsid w:val="00930291"/>
    <w:rsid w:val="009410BC"/>
    <w:rsid w:val="00A31348"/>
    <w:rsid w:val="00B442E8"/>
    <w:rsid w:val="00B6248B"/>
    <w:rsid w:val="00B82758"/>
    <w:rsid w:val="00BC3F80"/>
    <w:rsid w:val="00BD6ECC"/>
    <w:rsid w:val="00BF3D40"/>
    <w:rsid w:val="00C4307F"/>
    <w:rsid w:val="00C6385D"/>
    <w:rsid w:val="00C874E9"/>
    <w:rsid w:val="00D255E0"/>
    <w:rsid w:val="00D85011"/>
    <w:rsid w:val="00E34307"/>
    <w:rsid w:val="00E4346B"/>
    <w:rsid w:val="00F432A6"/>
    <w:rsid w:val="00F435CB"/>
    <w:rsid w:val="00F4361B"/>
    <w:rsid w:val="00F664F1"/>
    <w:rsid w:val="00F76DF9"/>
    <w:rsid w:val="00F76E3C"/>
    <w:rsid w:val="00FE450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613CE9B6"/>
  <w15:chartTrackingRefBased/>
  <w15:docId w15:val="{F217726D-2BB9-FB49-9AA4-E2E46718F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5E66"/>
    <w:rPr>
      <w:rFonts w:ascii="Times New Roman" w:eastAsia="Times New Roman" w:hAnsi="Times New Roman" w:cs="Times New Roman"/>
      <w:lang w:eastAsia="fr-FR"/>
    </w:rPr>
  </w:style>
  <w:style w:type="paragraph" w:styleId="Titre2">
    <w:name w:val="heading 2"/>
    <w:basedOn w:val="Normal"/>
    <w:link w:val="Titre2Car"/>
    <w:uiPriority w:val="9"/>
    <w:qFormat/>
    <w:rsid w:val="002942FF"/>
    <w:pPr>
      <w:spacing w:before="100" w:beforeAutospacing="1" w:after="100" w:afterAutospacing="1"/>
      <w:outlineLvl w:val="1"/>
    </w:pPr>
    <w:rPr>
      <w:b/>
      <w:bCs/>
      <w:sz w:val="36"/>
      <w:szCs w:val="3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2942FF"/>
    <w:rPr>
      <w:rFonts w:ascii="Times New Roman" w:eastAsia="Times New Roman" w:hAnsi="Times New Roman" w:cs="Times New Roman"/>
      <w:b/>
      <w:bCs/>
      <w:sz w:val="36"/>
      <w:szCs w:val="36"/>
      <w:lang w:eastAsia="fr-FR"/>
    </w:rPr>
  </w:style>
  <w:style w:type="paragraph" w:customStyle="1" w:styleId="Date1">
    <w:name w:val="Date1"/>
    <w:basedOn w:val="Normal"/>
    <w:rsid w:val="002942FF"/>
    <w:pPr>
      <w:spacing w:before="100" w:beforeAutospacing="1" w:after="100" w:afterAutospacing="1"/>
    </w:pPr>
  </w:style>
  <w:style w:type="character" w:styleId="Lienhypertexte">
    <w:name w:val="Hyperlink"/>
    <w:basedOn w:val="Policepardfaut"/>
    <w:uiPriority w:val="99"/>
    <w:semiHidden/>
    <w:unhideWhenUsed/>
    <w:rsid w:val="002942FF"/>
    <w:rPr>
      <w:color w:val="0000FF"/>
      <w:u w:val="single"/>
    </w:rPr>
  </w:style>
  <w:style w:type="paragraph" w:styleId="NormalWeb">
    <w:name w:val="Normal (Web)"/>
    <w:basedOn w:val="Normal"/>
    <w:uiPriority w:val="99"/>
    <w:unhideWhenUsed/>
    <w:rsid w:val="002942FF"/>
    <w:pPr>
      <w:spacing w:before="100" w:beforeAutospacing="1" w:after="100" w:afterAutospacing="1"/>
    </w:pPr>
  </w:style>
  <w:style w:type="paragraph" w:customStyle="1" w:styleId="soustitre">
    <w:name w:val="soustitre"/>
    <w:basedOn w:val="Normal"/>
    <w:rsid w:val="00895E66"/>
    <w:pPr>
      <w:spacing w:before="100" w:beforeAutospacing="1" w:after="100" w:afterAutospacing="1"/>
    </w:pPr>
  </w:style>
  <w:style w:type="paragraph" w:styleId="Pieddepage">
    <w:name w:val="footer"/>
    <w:basedOn w:val="Normal"/>
    <w:link w:val="PieddepageCar"/>
    <w:uiPriority w:val="99"/>
    <w:unhideWhenUsed/>
    <w:rsid w:val="00930291"/>
    <w:pPr>
      <w:tabs>
        <w:tab w:val="center" w:pos="4536"/>
        <w:tab w:val="right" w:pos="9072"/>
      </w:tabs>
    </w:pPr>
  </w:style>
  <w:style w:type="character" w:customStyle="1" w:styleId="PieddepageCar">
    <w:name w:val="Pied de page Car"/>
    <w:basedOn w:val="Policepardfaut"/>
    <w:link w:val="Pieddepage"/>
    <w:uiPriority w:val="99"/>
    <w:rsid w:val="00930291"/>
    <w:rPr>
      <w:rFonts w:ascii="Times New Roman" w:eastAsia="Times New Roman" w:hAnsi="Times New Roman" w:cs="Times New Roman"/>
      <w:lang w:eastAsia="fr-FR"/>
    </w:rPr>
  </w:style>
  <w:style w:type="character" w:styleId="Numrodepage">
    <w:name w:val="page number"/>
    <w:basedOn w:val="Policepardfaut"/>
    <w:uiPriority w:val="99"/>
    <w:semiHidden/>
    <w:unhideWhenUsed/>
    <w:rsid w:val="00930291"/>
  </w:style>
  <w:style w:type="paragraph" w:styleId="Paragraphedeliste">
    <w:name w:val="List Paragraph"/>
    <w:basedOn w:val="Normal"/>
    <w:uiPriority w:val="34"/>
    <w:qFormat/>
    <w:rsid w:val="003819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8768337">
      <w:bodyDiv w:val="1"/>
      <w:marLeft w:val="0"/>
      <w:marRight w:val="0"/>
      <w:marTop w:val="0"/>
      <w:marBottom w:val="0"/>
      <w:divBdr>
        <w:top w:val="none" w:sz="0" w:space="0" w:color="auto"/>
        <w:left w:val="none" w:sz="0" w:space="0" w:color="auto"/>
        <w:bottom w:val="none" w:sz="0" w:space="0" w:color="auto"/>
        <w:right w:val="none" w:sz="0" w:space="0" w:color="auto"/>
      </w:divBdr>
      <w:divsChild>
        <w:div w:id="1410693463">
          <w:marLeft w:val="0"/>
          <w:marRight w:val="0"/>
          <w:marTop w:val="0"/>
          <w:marBottom w:val="0"/>
          <w:divBdr>
            <w:top w:val="none" w:sz="0" w:space="0" w:color="auto"/>
            <w:left w:val="none" w:sz="0" w:space="0" w:color="auto"/>
            <w:bottom w:val="none" w:sz="0" w:space="0" w:color="auto"/>
            <w:right w:val="none" w:sz="0" w:space="0" w:color="auto"/>
          </w:divBdr>
        </w:div>
        <w:div w:id="813066167">
          <w:marLeft w:val="0"/>
          <w:marRight w:val="0"/>
          <w:marTop w:val="0"/>
          <w:marBottom w:val="0"/>
          <w:divBdr>
            <w:top w:val="none" w:sz="0" w:space="0" w:color="auto"/>
            <w:left w:val="none" w:sz="0" w:space="0" w:color="auto"/>
            <w:bottom w:val="none" w:sz="0" w:space="0" w:color="auto"/>
            <w:right w:val="none" w:sz="0" w:space="0" w:color="auto"/>
          </w:divBdr>
        </w:div>
      </w:divsChild>
    </w:div>
    <w:div w:id="265114638">
      <w:bodyDiv w:val="1"/>
      <w:marLeft w:val="0"/>
      <w:marRight w:val="0"/>
      <w:marTop w:val="0"/>
      <w:marBottom w:val="0"/>
      <w:divBdr>
        <w:top w:val="none" w:sz="0" w:space="0" w:color="auto"/>
        <w:left w:val="none" w:sz="0" w:space="0" w:color="auto"/>
        <w:bottom w:val="none" w:sz="0" w:space="0" w:color="auto"/>
        <w:right w:val="none" w:sz="0" w:space="0" w:color="auto"/>
      </w:divBdr>
      <w:divsChild>
        <w:div w:id="769087574">
          <w:marLeft w:val="0"/>
          <w:marRight w:val="0"/>
          <w:marTop w:val="0"/>
          <w:marBottom w:val="0"/>
          <w:divBdr>
            <w:top w:val="none" w:sz="0" w:space="0" w:color="auto"/>
            <w:left w:val="none" w:sz="0" w:space="0" w:color="auto"/>
            <w:bottom w:val="none" w:sz="0" w:space="0" w:color="auto"/>
            <w:right w:val="none" w:sz="0" w:space="0" w:color="auto"/>
          </w:divBdr>
        </w:div>
        <w:div w:id="1892573842">
          <w:marLeft w:val="0"/>
          <w:marRight w:val="0"/>
          <w:marTop w:val="0"/>
          <w:marBottom w:val="0"/>
          <w:divBdr>
            <w:top w:val="none" w:sz="0" w:space="0" w:color="auto"/>
            <w:left w:val="none" w:sz="0" w:space="0" w:color="auto"/>
            <w:bottom w:val="none" w:sz="0" w:space="0" w:color="auto"/>
            <w:right w:val="none" w:sz="0" w:space="0" w:color="auto"/>
          </w:divBdr>
        </w:div>
      </w:divsChild>
    </w:div>
    <w:div w:id="361321162">
      <w:bodyDiv w:val="1"/>
      <w:marLeft w:val="0"/>
      <w:marRight w:val="0"/>
      <w:marTop w:val="0"/>
      <w:marBottom w:val="0"/>
      <w:divBdr>
        <w:top w:val="none" w:sz="0" w:space="0" w:color="auto"/>
        <w:left w:val="none" w:sz="0" w:space="0" w:color="auto"/>
        <w:bottom w:val="none" w:sz="0" w:space="0" w:color="auto"/>
        <w:right w:val="none" w:sz="0" w:space="0" w:color="auto"/>
      </w:divBdr>
      <w:divsChild>
        <w:div w:id="1383943823">
          <w:marLeft w:val="0"/>
          <w:marRight w:val="0"/>
          <w:marTop w:val="0"/>
          <w:marBottom w:val="0"/>
          <w:divBdr>
            <w:top w:val="none" w:sz="0" w:space="0" w:color="auto"/>
            <w:left w:val="none" w:sz="0" w:space="0" w:color="auto"/>
            <w:bottom w:val="none" w:sz="0" w:space="0" w:color="auto"/>
            <w:right w:val="none" w:sz="0" w:space="0" w:color="auto"/>
          </w:divBdr>
        </w:div>
        <w:div w:id="1890679654">
          <w:marLeft w:val="0"/>
          <w:marRight w:val="0"/>
          <w:marTop w:val="0"/>
          <w:marBottom w:val="0"/>
          <w:divBdr>
            <w:top w:val="none" w:sz="0" w:space="0" w:color="auto"/>
            <w:left w:val="none" w:sz="0" w:space="0" w:color="auto"/>
            <w:bottom w:val="none" w:sz="0" w:space="0" w:color="auto"/>
            <w:right w:val="none" w:sz="0" w:space="0" w:color="auto"/>
          </w:divBdr>
        </w:div>
      </w:divsChild>
    </w:div>
    <w:div w:id="385955946">
      <w:bodyDiv w:val="1"/>
      <w:marLeft w:val="0"/>
      <w:marRight w:val="0"/>
      <w:marTop w:val="0"/>
      <w:marBottom w:val="0"/>
      <w:divBdr>
        <w:top w:val="none" w:sz="0" w:space="0" w:color="auto"/>
        <w:left w:val="none" w:sz="0" w:space="0" w:color="auto"/>
        <w:bottom w:val="none" w:sz="0" w:space="0" w:color="auto"/>
        <w:right w:val="none" w:sz="0" w:space="0" w:color="auto"/>
      </w:divBdr>
      <w:divsChild>
        <w:div w:id="131337735">
          <w:marLeft w:val="0"/>
          <w:marRight w:val="0"/>
          <w:marTop w:val="0"/>
          <w:marBottom w:val="0"/>
          <w:divBdr>
            <w:top w:val="none" w:sz="0" w:space="0" w:color="auto"/>
            <w:left w:val="none" w:sz="0" w:space="0" w:color="auto"/>
            <w:bottom w:val="none" w:sz="0" w:space="0" w:color="auto"/>
            <w:right w:val="none" w:sz="0" w:space="0" w:color="auto"/>
          </w:divBdr>
        </w:div>
        <w:div w:id="850334852">
          <w:marLeft w:val="0"/>
          <w:marRight w:val="0"/>
          <w:marTop w:val="0"/>
          <w:marBottom w:val="0"/>
          <w:divBdr>
            <w:top w:val="none" w:sz="0" w:space="0" w:color="auto"/>
            <w:left w:val="none" w:sz="0" w:space="0" w:color="auto"/>
            <w:bottom w:val="none" w:sz="0" w:space="0" w:color="auto"/>
            <w:right w:val="none" w:sz="0" w:space="0" w:color="auto"/>
          </w:divBdr>
        </w:div>
      </w:divsChild>
    </w:div>
    <w:div w:id="789470372">
      <w:bodyDiv w:val="1"/>
      <w:marLeft w:val="0"/>
      <w:marRight w:val="0"/>
      <w:marTop w:val="0"/>
      <w:marBottom w:val="0"/>
      <w:divBdr>
        <w:top w:val="none" w:sz="0" w:space="0" w:color="auto"/>
        <w:left w:val="none" w:sz="0" w:space="0" w:color="auto"/>
        <w:bottom w:val="none" w:sz="0" w:space="0" w:color="auto"/>
        <w:right w:val="none" w:sz="0" w:space="0" w:color="auto"/>
      </w:divBdr>
      <w:divsChild>
        <w:div w:id="705832079">
          <w:marLeft w:val="0"/>
          <w:marRight w:val="0"/>
          <w:marTop w:val="0"/>
          <w:marBottom w:val="0"/>
          <w:divBdr>
            <w:top w:val="single" w:sz="6" w:space="11" w:color="DBDBDB"/>
            <w:left w:val="none" w:sz="0" w:space="0" w:color="auto"/>
            <w:bottom w:val="single" w:sz="6" w:space="11" w:color="DBDBDB"/>
            <w:right w:val="none" w:sz="0" w:space="0" w:color="auto"/>
          </w:divBdr>
        </w:div>
        <w:div w:id="371613470">
          <w:marLeft w:val="0"/>
          <w:marRight w:val="0"/>
          <w:marTop w:val="300"/>
          <w:marBottom w:val="300"/>
          <w:divBdr>
            <w:top w:val="none" w:sz="0" w:space="0" w:color="auto"/>
            <w:left w:val="none" w:sz="0" w:space="0" w:color="auto"/>
            <w:bottom w:val="none" w:sz="0" w:space="0" w:color="auto"/>
            <w:right w:val="none" w:sz="0" w:space="0" w:color="auto"/>
          </w:divBdr>
        </w:div>
      </w:divsChild>
    </w:div>
    <w:div w:id="989796550">
      <w:bodyDiv w:val="1"/>
      <w:marLeft w:val="0"/>
      <w:marRight w:val="0"/>
      <w:marTop w:val="0"/>
      <w:marBottom w:val="0"/>
      <w:divBdr>
        <w:top w:val="none" w:sz="0" w:space="0" w:color="auto"/>
        <w:left w:val="none" w:sz="0" w:space="0" w:color="auto"/>
        <w:bottom w:val="none" w:sz="0" w:space="0" w:color="auto"/>
        <w:right w:val="none" w:sz="0" w:space="0" w:color="auto"/>
      </w:divBdr>
      <w:divsChild>
        <w:div w:id="1910070498">
          <w:marLeft w:val="0"/>
          <w:marRight w:val="0"/>
          <w:marTop w:val="0"/>
          <w:marBottom w:val="0"/>
          <w:divBdr>
            <w:top w:val="none" w:sz="0" w:space="0" w:color="auto"/>
            <w:left w:val="none" w:sz="0" w:space="0" w:color="auto"/>
            <w:bottom w:val="none" w:sz="0" w:space="0" w:color="auto"/>
            <w:right w:val="none" w:sz="0" w:space="0" w:color="auto"/>
          </w:divBdr>
        </w:div>
        <w:div w:id="1628510621">
          <w:marLeft w:val="0"/>
          <w:marRight w:val="0"/>
          <w:marTop w:val="0"/>
          <w:marBottom w:val="0"/>
          <w:divBdr>
            <w:top w:val="none" w:sz="0" w:space="0" w:color="auto"/>
            <w:left w:val="none" w:sz="0" w:space="0" w:color="auto"/>
            <w:bottom w:val="none" w:sz="0" w:space="0" w:color="auto"/>
            <w:right w:val="none" w:sz="0" w:space="0" w:color="auto"/>
          </w:divBdr>
        </w:div>
      </w:divsChild>
    </w:div>
    <w:div w:id="1114595431">
      <w:bodyDiv w:val="1"/>
      <w:marLeft w:val="0"/>
      <w:marRight w:val="0"/>
      <w:marTop w:val="0"/>
      <w:marBottom w:val="0"/>
      <w:divBdr>
        <w:top w:val="none" w:sz="0" w:space="0" w:color="auto"/>
        <w:left w:val="none" w:sz="0" w:space="0" w:color="auto"/>
        <w:bottom w:val="none" w:sz="0" w:space="0" w:color="auto"/>
        <w:right w:val="none" w:sz="0" w:space="0" w:color="auto"/>
      </w:divBdr>
      <w:divsChild>
        <w:div w:id="1237545222">
          <w:marLeft w:val="0"/>
          <w:marRight w:val="0"/>
          <w:marTop w:val="0"/>
          <w:marBottom w:val="0"/>
          <w:divBdr>
            <w:top w:val="none" w:sz="0" w:space="0" w:color="auto"/>
            <w:left w:val="none" w:sz="0" w:space="0" w:color="auto"/>
            <w:bottom w:val="none" w:sz="0" w:space="0" w:color="auto"/>
            <w:right w:val="none" w:sz="0" w:space="0" w:color="auto"/>
          </w:divBdr>
        </w:div>
        <w:div w:id="584726887">
          <w:marLeft w:val="0"/>
          <w:marRight w:val="0"/>
          <w:marTop w:val="0"/>
          <w:marBottom w:val="0"/>
          <w:divBdr>
            <w:top w:val="none" w:sz="0" w:space="0" w:color="auto"/>
            <w:left w:val="none" w:sz="0" w:space="0" w:color="auto"/>
            <w:bottom w:val="none" w:sz="0" w:space="0" w:color="auto"/>
            <w:right w:val="none" w:sz="0" w:space="0" w:color="auto"/>
          </w:divBdr>
        </w:div>
      </w:divsChild>
    </w:div>
    <w:div w:id="1223952053">
      <w:bodyDiv w:val="1"/>
      <w:marLeft w:val="0"/>
      <w:marRight w:val="0"/>
      <w:marTop w:val="0"/>
      <w:marBottom w:val="0"/>
      <w:divBdr>
        <w:top w:val="none" w:sz="0" w:space="0" w:color="auto"/>
        <w:left w:val="none" w:sz="0" w:space="0" w:color="auto"/>
        <w:bottom w:val="none" w:sz="0" w:space="0" w:color="auto"/>
        <w:right w:val="none" w:sz="0" w:space="0" w:color="auto"/>
      </w:divBdr>
      <w:divsChild>
        <w:div w:id="1151167894">
          <w:marLeft w:val="0"/>
          <w:marRight w:val="0"/>
          <w:marTop w:val="0"/>
          <w:marBottom w:val="0"/>
          <w:divBdr>
            <w:top w:val="none" w:sz="0" w:space="0" w:color="auto"/>
            <w:left w:val="none" w:sz="0" w:space="0" w:color="auto"/>
            <w:bottom w:val="none" w:sz="0" w:space="0" w:color="auto"/>
            <w:right w:val="none" w:sz="0" w:space="0" w:color="auto"/>
          </w:divBdr>
        </w:div>
        <w:div w:id="7559755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uritravail.com/codes/code-general-collectivites-territoriales/article/L1612-5.html" TargetMode="External"/><Relationship Id="rId13" Type="http://schemas.openxmlformats.org/officeDocument/2006/relationships/hyperlink" Target="https://www.legifrance.gouv.fr/ceta/id/CETATEXT000007835636"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legifrance.gouv.fr/affichCodeArticle.do?cidTexte=LEGITEXT000006070633&amp;idArticle=LEGIARTI000006389622&amp;dateTexte=&amp;categorieLien=cid" TargetMode="External"/><Relationship Id="rId12" Type="http://schemas.openxmlformats.org/officeDocument/2006/relationships/hyperlink" Target="https://www.legifrance.gouv.fr/affichCodeArticle.do?cidTexte=LEGITEXT000006070633&amp;idArticle=LEGIARTI000006390339&amp;dateTexte=&amp;categorieLien=cid" TargetMode="External"/><Relationship Id="rId17" Type="http://schemas.openxmlformats.org/officeDocument/2006/relationships/hyperlink" Target="https://www.collectivites-locales.gouv.fr/files/files/dgcl_v2/FLAE/FL3/04012021/m14_tome_ii_annexes_2021.pdf" TargetMode="External"/><Relationship Id="rId2" Type="http://schemas.openxmlformats.org/officeDocument/2006/relationships/styles" Target="styles.xml"/><Relationship Id="rId16" Type="http://schemas.openxmlformats.org/officeDocument/2006/relationships/hyperlink" Target="https://www.legifrance.gouv.fr/codes/article_lc/LEGIARTI000006390546/"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legifrance.gouv.fr/affichCodeArticle.do?cidTexte=LEGITEXT000006070633&amp;idArticle=LEGIARTI000006392260&amp;dateTexte=&amp;categorieLien=cid" TargetMode="External"/><Relationship Id="rId5" Type="http://schemas.openxmlformats.org/officeDocument/2006/relationships/footnotes" Target="footnotes.xml"/><Relationship Id="rId15" Type="http://schemas.openxmlformats.org/officeDocument/2006/relationships/hyperlink" Target="http://rjc.fr.eu.org/vote-du-budget-communal-1/" TargetMode="External"/><Relationship Id="rId10" Type="http://schemas.openxmlformats.org/officeDocument/2006/relationships/hyperlink" Target="https://www.legifrance.gouv.fr/affichCodeArticle.do?cidTexte=LEGITEXT000006070633&amp;idArticle=LEGIARTI000006391676&amp;dateTexte=&amp;categorieLien=cid"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www.legifrance.gouv.fr/affichCodeArticle.do?cidTexte=LEGITEXT000006070633&amp;idArticle=LEGIARTI000006390075&amp;dateTexte=&amp;categorieLien=cid" TargetMode="External"/><Relationship Id="rId14" Type="http://schemas.openxmlformats.org/officeDocument/2006/relationships/hyperlink" Target="https://questions.assemblee-nationale.fr/q12/12-20132QE.h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160</TotalTime>
  <Pages>16</Pages>
  <Words>4496</Words>
  <Characters>24731</Characters>
  <Application>Microsoft Office Word</Application>
  <DocSecurity>0</DocSecurity>
  <Lines>206</Lines>
  <Paragraphs>58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29169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Douat Hélène</dc:creator>
  <cp:keywords/>
  <dc:description/>
  <cp:lastModifiedBy>Douat Hélène</cp:lastModifiedBy>
  <cp:revision>6</cp:revision>
  <dcterms:created xsi:type="dcterms:W3CDTF">2021-02-09T14:41:00Z</dcterms:created>
  <dcterms:modified xsi:type="dcterms:W3CDTF">2021-02-09T17:58:00Z</dcterms:modified>
</cp:coreProperties>
</file>