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0FA8" w14:textId="18490CB4" w:rsidR="00005DFD" w:rsidRPr="00005DFD" w:rsidRDefault="00005DFD" w:rsidP="00005DFD">
      <w:pPr>
        <w:shd w:val="clear" w:color="auto" w:fill="FFFFFF"/>
        <w:spacing w:after="120"/>
        <w:jc w:val="both"/>
        <w:outlineLvl w:val="1"/>
        <w:rPr>
          <w:rFonts w:ascii="Arial" w:eastAsia="Times New Roman" w:hAnsi="Arial" w:cs="Arial"/>
          <w:b/>
          <w:bCs/>
          <w:color w:val="4A5E81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b/>
          <w:bCs/>
          <w:color w:val="4A5E81"/>
          <w:sz w:val="32"/>
          <w:szCs w:val="32"/>
          <w:lang w:eastAsia="fr-FR"/>
        </w:rPr>
        <w:t>Article R2313-1</w:t>
      </w:r>
      <w:r w:rsidRPr="00005DFD">
        <w:rPr>
          <w:rFonts w:ascii="Arial" w:eastAsia="Times New Roman" w:hAnsi="Arial" w:cs="Arial"/>
          <w:b/>
          <w:bCs/>
          <w:color w:val="4A5E81"/>
          <w:sz w:val="32"/>
          <w:szCs w:val="32"/>
          <w:lang w:eastAsia="fr-FR"/>
        </w:rPr>
        <w:t xml:space="preserve"> du CGCT</w:t>
      </w:r>
    </w:p>
    <w:p w14:paraId="5158872C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color w:val="3C3C3C"/>
          <w:sz w:val="32"/>
          <w:szCs w:val="32"/>
          <w:lang w:eastAsia="fr-FR"/>
        </w:rPr>
      </w:pPr>
    </w:p>
    <w:p w14:paraId="4AA68193" w14:textId="4C46739B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Dans les communes de 3 500 habitants et plus, les données synthétiques sur la situation financière de la commune, prévues au 1° du troisième alinéa de l'article </w:t>
      </w:r>
      <w:hyperlink r:id="rId4" w:tooltip="Code général des collectivités territoriales - art. L2313-1 (V)" w:history="1">
        <w:r w:rsidRPr="00005DFD">
          <w:rPr>
            <w:rFonts w:ascii="Arial" w:eastAsia="Times New Roman" w:hAnsi="Arial" w:cs="Arial"/>
            <w:color w:val="4A5E81"/>
            <w:sz w:val="32"/>
            <w:szCs w:val="32"/>
            <w:u w:val="single"/>
            <w:lang w:eastAsia="fr-FR"/>
          </w:rPr>
          <w:t>L. 2313-1</w:t>
        </w:r>
      </w:hyperlink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, comprennent les ratios suivants :</w:t>
      </w:r>
    </w:p>
    <w:p w14:paraId="45CDEC3B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</w:p>
    <w:p w14:paraId="70C5BF70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1° Dépenses réelles de fonctionnement/ population ;</w:t>
      </w:r>
    </w:p>
    <w:p w14:paraId="6D4E2020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2° Produit des impositions directes/ population ;</w:t>
      </w:r>
    </w:p>
    <w:p w14:paraId="69334FF4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3° Recettes réelles de fonctionnement/ population ;</w:t>
      </w:r>
    </w:p>
    <w:p w14:paraId="708F25DE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4° Dépenses d'équipement brut/ population ;</w:t>
      </w:r>
    </w:p>
    <w:p w14:paraId="3EACBADF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5° Encours de la dette/ population ;</w:t>
      </w:r>
    </w:p>
    <w:p w14:paraId="0389D55B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6° Dotation globale de fonctionnement/ population.</w:t>
      </w:r>
    </w:p>
    <w:p w14:paraId="5BAFB39D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</w:p>
    <w:p w14:paraId="59CABD74" w14:textId="258ADF92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Dans les communes de 10 000 habitants et plus, ces données comprennent en outre les ratios suivants :</w:t>
      </w:r>
    </w:p>
    <w:p w14:paraId="51D2EA39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7° Dépenses de personnel/ dépenses réelles de fonctionnement ;</w:t>
      </w:r>
    </w:p>
    <w:p w14:paraId="237079CE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8° Coefficient de mobilisation du potentiel fiscal et, le cas échéant, coefficient de mobilisation du potentiel fiscal élargi ;</w:t>
      </w:r>
    </w:p>
    <w:p w14:paraId="2CFD994C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9° Dépenses réelles de fonctionnement et remboursement annuel de la dette en capital/ recettes réelles de fonctionnement ;</w:t>
      </w:r>
    </w:p>
    <w:p w14:paraId="17EEBAB3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10° Dépenses d'équipement brut/ recettes réelles de fonctionnement ;</w:t>
      </w:r>
    </w:p>
    <w:p w14:paraId="3C7D2072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11° Encours de la dette/ recettes réelles de fonctionnement.</w:t>
      </w:r>
    </w:p>
    <w:p w14:paraId="275290D4" w14:textId="77777777" w:rsidR="00005DFD" w:rsidRPr="00005DFD" w:rsidRDefault="00005DFD" w:rsidP="00005DF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Dans les communes touristiques qui bénéficient de la dotation forfaitaire dans les conditions fixées au troisième alinéa de l'article </w:t>
      </w:r>
      <w:hyperlink r:id="rId5" w:tooltip="Code général des collectivités territoriales - art. L2334-7 (V)" w:history="1">
        <w:r w:rsidRPr="00005DFD">
          <w:rPr>
            <w:rFonts w:ascii="Arial" w:eastAsia="Times New Roman" w:hAnsi="Arial" w:cs="Arial"/>
            <w:color w:val="4A5E81"/>
            <w:sz w:val="32"/>
            <w:szCs w:val="32"/>
            <w:u w:val="single"/>
            <w:lang w:eastAsia="fr-FR"/>
          </w:rPr>
          <w:t>L. 2334-7</w:t>
        </w:r>
      </w:hyperlink>
      <w:r w:rsidRPr="00005DFD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, les données synthétiques comprennent également le nombre de résidences secondaires.</w:t>
      </w:r>
    </w:p>
    <w:p w14:paraId="72772D70" w14:textId="77777777" w:rsidR="001A071B" w:rsidRPr="00005DFD" w:rsidRDefault="001A071B" w:rsidP="00005DFD">
      <w:pPr>
        <w:jc w:val="both"/>
        <w:rPr>
          <w:sz w:val="32"/>
          <w:szCs w:val="32"/>
        </w:rPr>
      </w:pPr>
    </w:p>
    <w:sectPr w:rsidR="001A071B" w:rsidRPr="00005DFD" w:rsidSect="00005DFD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FD"/>
    <w:rsid w:val="00005DFD"/>
    <w:rsid w:val="001A071B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7DA68"/>
  <w15:chartTrackingRefBased/>
  <w15:docId w15:val="{E3BE25C9-5F25-E748-8A2D-8184E8A4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05D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5DF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">
    <w:name w:val="date"/>
    <w:basedOn w:val="Normal"/>
    <w:rsid w:val="00005D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5D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D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Article.do?cidTexte=LEGITEXT000006070633&amp;idArticle=LEGIARTI000006390773&amp;dateTexte=&amp;categorieLien=cid" TargetMode="External"/><Relationship Id="rId4" Type="http://schemas.openxmlformats.org/officeDocument/2006/relationships/hyperlink" Target="https://www.legifrance.gouv.fr/affichCodeArticle.do?cidTexte=LEGITEXT000006070633&amp;idArticle=LEGIARTI000006390526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2021-02-07T22:00:00Z</dcterms:created>
  <dcterms:modified xsi:type="dcterms:W3CDTF">2021-02-07T22:04:00Z</dcterms:modified>
</cp:coreProperties>
</file>