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67D86" w14:textId="5834E916" w:rsidR="001A071B" w:rsidRDefault="00E12E41" w:rsidP="00E12E41">
      <w:pPr>
        <w:jc w:val="center"/>
        <w:rPr>
          <w:b/>
          <w:bCs/>
          <w:sz w:val="32"/>
          <w:szCs w:val="32"/>
        </w:rPr>
      </w:pPr>
      <w:r w:rsidRPr="00733358">
        <w:rPr>
          <w:b/>
          <w:bCs/>
          <w:sz w:val="32"/>
          <w:szCs w:val="32"/>
        </w:rPr>
        <w:t>LES PRINCIPES BUDGÉTAIRES</w:t>
      </w:r>
    </w:p>
    <w:p w14:paraId="00DEE2A0" w14:textId="77777777" w:rsidR="00733358" w:rsidRPr="00733358" w:rsidRDefault="00733358" w:rsidP="00E12E41">
      <w:pPr>
        <w:jc w:val="center"/>
        <w:rPr>
          <w:b/>
          <w:bCs/>
          <w:sz w:val="32"/>
          <w:szCs w:val="32"/>
        </w:rPr>
      </w:pPr>
    </w:p>
    <w:p w14:paraId="038C1345" w14:textId="2FCBEEB2" w:rsidR="00E12E41" w:rsidRPr="00733358" w:rsidRDefault="00E12E41">
      <w:pPr>
        <w:rPr>
          <w:sz w:val="32"/>
          <w:szCs w:val="32"/>
        </w:rPr>
      </w:pPr>
    </w:p>
    <w:p w14:paraId="3D90F815" w14:textId="22A2E9C0" w:rsidR="00E12E41" w:rsidRPr="00733358" w:rsidRDefault="00E12E41" w:rsidP="00E12E41">
      <w:pPr>
        <w:jc w:val="both"/>
        <w:rPr>
          <w:sz w:val="32"/>
          <w:szCs w:val="32"/>
        </w:rPr>
      </w:pPr>
      <w:r w:rsidRPr="00733358">
        <w:rPr>
          <w:sz w:val="32"/>
          <w:szCs w:val="32"/>
        </w:rPr>
        <w:t xml:space="preserve">Les principes budgétaires sont au nombre de 6, 3 sont des principes de discipline et 3 sont des principes de transparence. Pour la discipline, ce sont </w:t>
      </w:r>
      <w:proofErr w:type="gramStart"/>
      <w:r w:rsidRPr="00733358">
        <w:rPr>
          <w:sz w:val="32"/>
          <w:szCs w:val="32"/>
        </w:rPr>
        <w:t>les principe</w:t>
      </w:r>
      <w:proofErr w:type="gramEnd"/>
      <w:r w:rsidRPr="00733358">
        <w:rPr>
          <w:sz w:val="32"/>
          <w:szCs w:val="32"/>
        </w:rPr>
        <w:t xml:space="preserve"> d’équilibre que nous avons déjà vu, le principe d’annualité et le principe de spécialité. Pour les principes de transparence, ce sont les principes d’unité, d’universalité et de sincérité. Mais le principe de sincérité, comme nous l’avons vu, est intégré au principe d’équilibre. </w:t>
      </w:r>
    </w:p>
    <w:p w14:paraId="5EEE23D8" w14:textId="70E1FF0A" w:rsidR="00E12E41" w:rsidRPr="00733358" w:rsidRDefault="00E12E41" w:rsidP="00E12E41">
      <w:pPr>
        <w:jc w:val="both"/>
        <w:rPr>
          <w:sz w:val="32"/>
          <w:szCs w:val="32"/>
        </w:rPr>
      </w:pPr>
    </w:p>
    <w:p w14:paraId="29022037" w14:textId="65698A77" w:rsidR="00E12E41" w:rsidRPr="00733358" w:rsidRDefault="00E12E41" w:rsidP="00E12E41">
      <w:pPr>
        <w:jc w:val="both"/>
        <w:rPr>
          <w:sz w:val="32"/>
          <w:szCs w:val="32"/>
        </w:rPr>
      </w:pPr>
      <w:r w:rsidRPr="00733358">
        <w:rPr>
          <w:sz w:val="32"/>
          <w:szCs w:val="32"/>
        </w:rPr>
        <w:t>Si l’on classe les principes budgétaires par ordre décroissant d’importance, on trouve en tête l’équilibre puis l’unité qui est également un principe renforcé. Ensuite, les trois autres principes restants sont affaiblis. Le moins affaibli est le principe d’annualité qui conserve une dose importante de contrainte, puis nous trouvons l’universalité et enfin le principe de spécialité qui est fortement battu en brèche.</w:t>
      </w:r>
    </w:p>
    <w:p w14:paraId="1CF1E84D" w14:textId="01A8C608" w:rsidR="00E12E41" w:rsidRDefault="00E12E41" w:rsidP="00E12E41">
      <w:pPr>
        <w:jc w:val="both"/>
        <w:rPr>
          <w:sz w:val="32"/>
          <w:szCs w:val="32"/>
        </w:rPr>
      </w:pPr>
    </w:p>
    <w:p w14:paraId="42C1D356" w14:textId="77777777" w:rsidR="00733358" w:rsidRPr="00733358" w:rsidRDefault="00733358" w:rsidP="00E12E41">
      <w:pPr>
        <w:jc w:val="both"/>
        <w:rPr>
          <w:sz w:val="32"/>
          <w:szCs w:val="32"/>
        </w:rPr>
      </w:pPr>
    </w:p>
    <w:p w14:paraId="76BE381C" w14:textId="6C64C54D" w:rsidR="00E12E41" w:rsidRPr="00733358" w:rsidRDefault="00E12E41" w:rsidP="00E12E41">
      <w:pPr>
        <w:jc w:val="both"/>
        <w:rPr>
          <w:b/>
          <w:bCs/>
          <w:sz w:val="32"/>
          <w:szCs w:val="32"/>
        </w:rPr>
      </w:pPr>
      <w:r w:rsidRPr="00733358">
        <w:rPr>
          <w:b/>
          <w:bCs/>
          <w:sz w:val="32"/>
          <w:szCs w:val="32"/>
        </w:rPr>
        <w:t>CHAPITRE 1 : LES PRINCIPES D’UNITÉ ET D’ANNUALITÉ</w:t>
      </w:r>
    </w:p>
    <w:p w14:paraId="70F20119" w14:textId="0F210C1A" w:rsidR="00E12E41" w:rsidRPr="00733358" w:rsidRDefault="00E12E41" w:rsidP="00E12E41">
      <w:pPr>
        <w:jc w:val="both"/>
        <w:rPr>
          <w:sz w:val="32"/>
          <w:szCs w:val="32"/>
        </w:rPr>
      </w:pPr>
    </w:p>
    <w:p w14:paraId="01DA0A34" w14:textId="2C32FD47" w:rsidR="00E12E41" w:rsidRPr="00733358" w:rsidRDefault="00E12E41" w:rsidP="00E12E41">
      <w:pPr>
        <w:jc w:val="both"/>
        <w:rPr>
          <w:b/>
          <w:bCs/>
          <w:sz w:val="32"/>
          <w:szCs w:val="32"/>
          <w:u w:val="single"/>
        </w:rPr>
      </w:pPr>
      <w:r w:rsidRPr="00733358">
        <w:rPr>
          <w:b/>
          <w:bCs/>
          <w:sz w:val="32"/>
          <w:szCs w:val="32"/>
          <w:u w:val="single"/>
        </w:rPr>
        <w:t>Section 1 Le principe d’unité, un principe renforcé</w:t>
      </w:r>
    </w:p>
    <w:p w14:paraId="3B2B650F" w14:textId="0AD0C93E" w:rsidR="00A961F1" w:rsidRPr="00733358" w:rsidRDefault="00A961F1" w:rsidP="00E12E41">
      <w:pPr>
        <w:jc w:val="both"/>
        <w:rPr>
          <w:sz w:val="32"/>
          <w:szCs w:val="32"/>
        </w:rPr>
      </w:pPr>
    </w:p>
    <w:p w14:paraId="06C50C5E" w14:textId="7E251B02" w:rsidR="00A961F1" w:rsidRPr="00733358" w:rsidRDefault="00A961F1" w:rsidP="00E12E41">
      <w:pPr>
        <w:jc w:val="both"/>
        <w:rPr>
          <w:sz w:val="32"/>
          <w:szCs w:val="32"/>
        </w:rPr>
      </w:pPr>
      <w:r w:rsidRPr="00733358">
        <w:rPr>
          <w:sz w:val="32"/>
          <w:szCs w:val="32"/>
        </w:rPr>
        <w:t>A/ La différence entre l’unité dans les finances de l’État et dans les finances locales</w:t>
      </w:r>
    </w:p>
    <w:p w14:paraId="708A1BDA" w14:textId="4A531CF8" w:rsidR="00A961F1" w:rsidRPr="00733358" w:rsidRDefault="00A961F1" w:rsidP="00E12E41">
      <w:pPr>
        <w:jc w:val="both"/>
        <w:rPr>
          <w:sz w:val="32"/>
          <w:szCs w:val="32"/>
        </w:rPr>
      </w:pPr>
      <w:r w:rsidRPr="00733358">
        <w:rPr>
          <w:sz w:val="32"/>
          <w:szCs w:val="32"/>
        </w:rPr>
        <w:t>A quoi sert le principe d’unité</w:t>
      </w:r>
    </w:p>
    <w:p w14:paraId="718B2F55" w14:textId="77777777" w:rsidR="00A961F1" w:rsidRPr="00733358" w:rsidRDefault="00A961F1" w:rsidP="00E12E41">
      <w:pPr>
        <w:jc w:val="both"/>
        <w:rPr>
          <w:sz w:val="32"/>
          <w:szCs w:val="32"/>
        </w:rPr>
      </w:pPr>
    </w:p>
    <w:p w14:paraId="474813D5" w14:textId="1F51A049" w:rsidR="00A961F1" w:rsidRPr="00733358" w:rsidRDefault="00A961F1" w:rsidP="00E12E41">
      <w:pPr>
        <w:jc w:val="both"/>
        <w:rPr>
          <w:sz w:val="32"/>
          <w:szCs w:val="32"/>
        </w:rPr>
      </w:pPr>
      <w:r w:rsidRPr="00733358">
        <w:rPr>
          <w:sz w:val="32"/>
          <w:szCs w:val="32"/>
        </w:rPr>
        <w:t>§1 L’unité dans les finances de l’État</w:t>
      </w:r>
    </w:p>
    <w:p w14:paraId="197ED30F" w14:textId="03A3B689" w:rsidR="00A961F1" w:rsidRPr="00733358" w:rsidRDefault="00A961F1" w:rsidP="00E12E41">
      <w:pPr>
        <w:jc w:val="both"/>
        <w:rPr>
          <w:sz w:val="32"/>
          <w:szCs w:val="32"/>
        </w:rPr>
      </w:pPr>
      <w:r w:rsidRPr="00733358">
        <w:rPr>
          <w:sz w:val="32"/>
          <w:szCs w:val="32"/>
        </w:rPr>
        <w:t>§2 L’unité dans les finances locales</w:t>
      </w:r>
    </w:p>
    <w:p w14:paraId="3A9E538D" w14:textId="66F82163" w:rsidR="00A961F1" w:rsidRPr="00733358" w:rsidRDefault="00A961F1" w:rsidP="00E12E41">
      <w:pPr>
        <w:jc w:val="both"/>
        <w:rPr>
          <w:sz w:val="32"/>
          <w:szCs w:val="32"/>
        </w:rPr>
      </w:pPr>
    </w:p>
    <w:p w14:paraId="5825B2A6" w14:textId="283C7534" w:rsidR="00A961F1" w:rsidRPr="00733358" w:rsidRDefault="00A961F1" w:rsidP="00E12E41">
      <w:pPr>
        <w:jc w:val="both"/>
        <w:rPr>
          <w:sz w:val="32"/>
          <w:szCs w:val="32"/>
        </w:rPr>
      </w:pPr>
      <w:r w:rsidRPr="00733358">
        <w:rPr>
          <w:sz w:val="32"/>
          <w:szCs w:val="32"/>
        </w:rPr>
        <w:t>B/ L’impossibilité d’avoir un seul document unique dans les Finances locales</w:t>
      </w:r>
    </w:p>
    <w:p w14:paraId="32691CE4" w14:textId="37ED66F1" w:rsidR="00A961F1" w:rsidRPr="00733358" w:rsidRDefault="00A961F1" w:rsidP="00E12E41">
      <w:pPr>
        <w:jc w:val="both"/>
        <w:rPr>
          <w:sz w:val="32"/>
          <w:szCs w:val="32"/>
        </w:rPr>
      </w:pPr>
      <w:r w:rsidRPr="00733358">
        <w:rPr>
          <w:sz w:val="32"/>
          <w:szCs w:val="32"/>
        </w:rPr>
        <w:t>§1 Pour le budget principal</w:t>
      </w:r>
    </w:p>
    <w:p w14:paraId="2992FF9F" w14:textId="0CDA55E6" w:rsidR="00A961F1" w:rsidRPr="00733358" w:rsidRDefault="00A961F1" w:rsidP="00E12E41">
      <w:pPr>
        <w:jc w:val="both"/>
        <w:rPr>
          <w:sz w:val="32"/>
          <w:szCs w:val="32"/>
        </w:rPr>
      </w:pPr>
      <w:r w:rsidRPr="00733358">
        <w:rPr>
          <w:sz w:val="32"/>
          <w:szCs w:val="32"/>
        </w:rPr>
        <w:t>§2 L’importance des BA</w:t>
      </w:r>
    </w:p>
    <w:p w14:paraId="2F1E0C2F" w14:textId="2EC62052" w:rsidR="00A961F1" w:rsidRPr="00733358" w:rsidRDefault="00A961F1" w:rsidP="00E12E41">
      <w:pPr>
        <w:jc w:val="both"/>
        <w:rPr>
          <w:sz w:val="32"/>
          <w:szCs w:val="32"/>
        </w:rPr>
      </w:pPr>
    </w:p>
    <w:p w14:paraId="01D2BAF1" w14:textId="0A8F2674" w:rsidR="00A961F1" w:rsidRPr="00733358" w:rsidRDefault="00A961F1" w:rsidP="00E12E41">
      <w:pPr>
        <w:jc w:val="both"/>
        <w:rPr>
          <w:sz w:val="32"/>
          <w:szCs w:val="32"/>
        </w:rPr>
      </w:pPr>
      <w:r w:rsidRPr="00733358">
        <w:rPr>
          <w:sz w:val="32"/>
          <w:szCs w:val="32"/>
        </w:rPr>
        <w:t>C/ Éclatement ou renforcement de la notion du budget</w:t>
      </w:r>
    </w:p>
    <w:p w14:paraId="30C2F0CE" w14:textId="7B8EBC22" w:rsidR="00A961F1" w:rsidRPr="00733358" w:rsidRDefault="00A961F1" w:rsidP="00E12E41">
      <w:pPr>
        <w:jc w:val="both"/>
        <w:rPr>
          <w:sz w:val="32"/>
          <w:szCs w:val="32"/>
        </w:rPr>
      </w:pPr>
      <w:r w:rsidRPr="00733358">
        <w:rPr>
          <w:sz w:val="32"/>
          <w:szCs w:val="32"/>
        </w:rPr>
        <w:t>§1 L’éclatement à partir de 1985</w:t>
      </w:r>
    </w:p>
    <w:p w14:paraId="2DD45233" w14:textId="151DAD55" w:rsidR="00A961F1" w:rsidRPr="00733358" w:rsidRDefault="00A961F1" w:rsidP="00E12E41">
      <w:pPr>
        <w:jc w:val="both"/>
        <w:rPr>
          <w:sz w:val="32"/>
          <w:szCs w:val="32"/>
        </w:rPr>
      </w:pPr>
      <w:r w:rsidRPr="00733358">
        <w:rPr>
          <w:sz w:val="32"/>
          <w:szCs w:val="32"/>
        </w:rPr>
        <w:t>§2 Le renforcement à partir de 1992</w:t>
      </w:r>
    </w:p>
    <w:p w14:paraId="2E8F6049" w14:textId="4D6D9228" w:rsidR="00A961F1" w:rsidRPr="00733358" w:rsidRDefault="00A961F1" w:rsidP="00E12E41">
      <w:pPr>
        <w:jc w:val="both"/>
        <w:rPr>
          <w:sz w:val="32"/>
          <w:szCs w:val="32"/>
        </w:rPr>
      </w:pPr>
    </w:p>
    <w:p w14:paraId="7F8CE6DD" w14:textId="6099F53F" w:rsidR="00A961F1" w:rsidRPr="00733358" w:rsidRDefault="00A961F1" w:rsidP="00E12E41">
      <w:pPr>
        <w:jc w:val="both"/>
        <w:rPr>
          <w:b/>
          <w:bCs/>
          <w:sz w:val="32"/>
          <w:szCs w:val="32"/>
          <w:u w:val="single"/>
        </w:rPr>
      </w:pPr>
      <w:r w:rsidRPr="00733358">
        <w:rPr>
          <w:b/>
          <w:bCs/>
          <w:sz w:val="32"/>
          <w:szCs w:val="32"/>
          <w:u w:val="single"/>
        </w:rPr>
        <w:t xml:space="preserve">Section 2 Le principe d’annualité </w:t>
      </w:r>
    </w:p>
    <w:p w14:paraId="0D624FC6" w14:textId="0F9B2943" w:rsidR="00A961F1" w:rsidRPr="00733358" w:rsidRDefault="00A961F1" w:rsidP="00E12E41">
      <w:pPr>
        <w:jc w:val="both"/>
        <w:rPr>
          <w:sz w:val="32"/>
          <w:szCs w:val="32"/>
        </w:rPr>
      </w:pPr>
    </w:p>
    <w:p w14:paraId="4E8AAA02" w14:textId="4A29DC13" w:rsidR="00A961F1" w:rsidRPr="00733358" w:rsidRDefault="00A961F1" w:rsidP="00E12E41">
      <w:pPr>
        <w:jc w:val="both"/>
        <w:rPr>
          <w:sz w:val="32"/>
          <w:szCs w:val="32"/>
        </w:rPr>
      </w:pPr>
      <w:r w:rsidRPr="00733358">
        <w:rPr>
          <w:sz w:val="32"/>
          <w:szCs w:val="32"/>
        </w:rPr>
        <w:t>A/ L’annualité est forte en matière fiscale</w:t>
      </w:r>
    </w:p>
    <w:p w14:paraId="42ECA21D" w14:textId="42504F9D" w:rsidR="00A961F1" w:rsidRPr="00733358" w:rsidRDefault="00A961F1" w:rsidP="00E12E41">
      <w:pPr>
        <w:jc w:val="both"/>
        <w:rPr>
          <w:sz w:val="32"/>
          <w:szCs w:val="32"/>
        </w:rPr>
      </w:pPr>
      <w:r w:rsidRPr="00733358">
        <w:rPr>
          <w:sz w:val="32"/>
          <w:szCs w:val="32"/>
        </w:rPr>
        <w:t>§1 Le principe d’annualité de l’impôt et la section de fonctionnement</w:t>
      </w:r>
    </w:p>
    <w:p w14:paraId="1E0B1F31" w14:textId="485A75CD" w:rsidR="00A961F1" w:rsidRPr="00733358" w:rsidRDefault="00A961F1" w:rsidP="00E12E41">
      <w:pPr>
        <w:jc w:val="both"/>
        <w:rPr>
          <w:sz w:val="32"/>
          <w:szCs w:val="32"/>
        </w:rPr>
      </w:pPr>
      <w:r w:rsidRPr="00733358">
        <w:rPr>
          <w:sz w:val="32"/>
          <w:szCs w:val="32"/>
        </w:rPr>
        <w:t>§2 Les exemples de la force de l’annualité en matière fiscale</w:t>
      </w:r>
    </w:p>
    <w:p w14:paraId="51662631" w14:textId="56D41525" w:rsidR="00A961F1" w:rsidRPr="00733358" w:rsidRDefault="00A961F1" w:rsidP="00E12E41">
      <w:pPr>
        <w:jc w:val="both"/>
        <w:rPr>
          <w:sz w:val="32"/>
          <w:szCs w:val="32"/>
        </w:rPr>
      </w:pPr>
    </w:p>
    <w:p w14:paraId="213C0323" w14:textId="1D433BC4" w:rsidR="00A961F1" w:rsidRPr="00733358" w:rsidRDefault="00A961F1" w:rsidP="00E12E41">
      <w:pPr>
        <w:jc w:val="both"/>
        <w:rPr>
          <w:sz w:val="32"/>
          <w:szCs w:val="32"/>
        </w:rPr>
      </w:pPr>
      <w:r w:rsidRPr="00733358">
        <w:rPr>
          <w:sz w:val="32"/>
          <w:szCs w:val="32"/>
        </w:rPr>
        <w:t>B/ L’impossibilité d’imposer l’antériorité au budget local</w:t>
      </w:r>
    </w:p>
    <w:p w14:paraId="7B2C0984" w14:textId="63760789" w:rsidR="00A961F1" w:rsidRPr="00733358" w:rsidRDefault="00A961F1" w:rsidP="00E12E41">
      <w:pPr>
        <w:jc w:val="both"/>
        <w:rPr>
          <w:sz w:val="32"/>
          <w:szCs w:val="32"/>
        </w:rPr>
      </w:pPr>
      <w:r w:rsidRPr="00733358">
        <w:rPr>
          <w:sz w:val="32"/>
          <w:szCs w:val="32"/>
        </w:rPr>
        <w:t>Existence d’un vide juridique entre le 1</w:t>
      </w:r>
      <w:r w:rsidRPr="00733358">
        <w:rPr>
          <w:sz w:val="32"/>
          <w:szCs w:val="32"/>
          <w:vertAlign w:val="superscript"/>
        </w:rPr>
        <w:t>er</w:t>
      </w:r>
      <w:r w:rsidRPr="00733358">
        <w:rPr>
          <w:sz w:val="32"/>
          <w:szCs w:val="32"/>
        </w:rPr>
        <w:t xml:space="preserve"> janvier et la date de vote du BP</w:t>
      </w:r>
    </w:p>
    <w:p w14:paraId="2F27F4B5" w14:textId="3DB9F5FA" w:rsidR="00A961F1" w:rsidRPr="00733358" w:rsidRDefault="00A961F1" w:rsidP="00E12E41">
      <w:pPr>
        <w:jc w:val="both"/>
        <w:rPr>
          <w:sz w:val="32"/>
          <w:szCs w:val="32"/>
        </w:rPr>
      </w:pPr>
      <w:r w:rsidRPr="00733358">
        <w:rPr>
          <w:sz w:val="32"/>
          <w:szCs w:val="32"/>
        </w:rPr>
        <w:t>§1 Pour les recettes</w:t>
      </w:r>
    </w:p>
    <w:p w14:paraId="221E5E40" w14:textId="420BF2E7" w:rsidR="00A961F1" w:rsidRPr="00733358" w:rsidRDefault="00A961F1" w:rsidP="00E12E41">
      <w:pPr>
        <w:jc w:val="both"/>
        <w:rPr>
          <w:sz w:val="32"/>
          <w:szCs w:val="32"/>
        </w:rPr>
      </w:pPr>
      <w:r w:rsidRPr="00733358">
        <w:rPr>
          <w:sz w:val="32"/>
          <w:szCs w:val="32"/>
        </w:rPr>
        <w:t>§2 Pour les dépenses</w:t>
      </w:r>
    </w:p>
    <w:p w14:paraId="5F72637B" w14:textId="425F3E2D" w:rsidR="00A961F1" w:rsidRPr="00733358" w:rsidRDefault="00A961F1" w:rsidP="00E12E41">
      <w:pPr>
        <w:jc w:val="both"/>
        <w:rPr>
          <w:sz w:val="32"/>
          <w:szCs w:val="32"/>
        </w:rPr>
      </w:pPr>
    </w:p>
    <w:p w14:paraId="5AE10BAE" w14:textId="36EBAB65" w:rsidR="00A961F1" w:rsidRPr="00733358" w:rsidRDefault="00A961F1" w:rsidP="00E12E41">
      <w:pPr>
        <w:jc w:val="both"/>
        <w:rPr>
          <w:sz w:val="32"/>
          <w:szCs w:val="32"/>
        </w:rPr>
      </w:pPr>
      <w:r w:rsidRPr="00733358">
        <w:rPr>
          <w:sz w:val="32"/>
          <w:szCs w:val="32"/>
        </w:rPr>
        <w:t>C/ Les exceptions pour le SI</w:t>
      </w:r>
    </w:p>
    <w:p w14:paraId="0A1B0415" w14:textId="471B0EF2" w:rsidR="00733358" w:rsidRPr="00733358" w:rsidRDefault="00733358" w:rsidP="00E12E41">
      <w:pPr>
        <w:jc w:val="both"/>
        <w:rPr>
          <w:sz w:val="32"/>
          <w:szCs w:val="32"/>
        </w:rPr>
      </w:pPr>
      <w:r w:rsidRPr="00733358">
        <w:rPr>
          <w:sz w:val="32"/>
          <w:szCs w:val="32"/>
        </w:rPr>
        <w:t>Au sein d’une CT, il existe toujours un PPI</w:t>
      </w:r>
    </w:p>
    <w:p w14:paraId="72D1224A" w14:textId="29B116CB" w:rsidR="00A961F1" w:rsidRPr="00733358" w:rsidRDefault="00A961F1" w:rsidP="00E12E41">
      <w:pPr>
        <w:jc w:val="both"/>
        <w:rPr>
          <w:sz w:val="32"/>
          <w:szCs w:val="32"/>
        </w:rPr>
      </w:pPr>
      <w:r w:rsidRPr="00733358">
        <w:rPr>
          <w:sz w:val="32"/>
          <w:szCs w:val="32"/>
        </w:rPr>
        <w:t>§1 Les reports de crédits, méthode traditionnelle</w:t>
      </w:r>
    </w:p>
    <w:p w14:paraId="09C43786" w14:textId="57D5C579" w:rsidR="00A961F1" w:rsidRPr="00733358" w:rsidRDefault="00733358" w:rsidP="00E12E41">
      <w:pPr>
        <w:jc w:val="both"/>
        <w:rPr>
          <w:sz w:val="32"/>
          <w:szCs w:val="32"/>
        </w:rPr>
      </w:pPr>
      <w:r w:rsidRPr="00733358">
        <w:rPr>
          <w:sz w:val="32"/>
          <w:szCs w:val="32"/>
        </w:rPr>
        <w:t>§2 Les AP/CP depuis la Loi du 6 février 1992</w:t>
      </w:r>
    </w:p>
    <w:p w14:paraId="3F059B7B" w14:textId="552AA66F" w:rsidR="00733358" w:rsidRPr="00733358" w:rsidRDefault="00733358" w:rsidP="00E12E41">
      <w:pPr>
        <w:jc w:val="both"/>
        <w:rPr>
          <w:sz w:val="32"/>
          <w:szCs w:val="32"/>
        </w:rPr>
      </w:pPr>
    </w:p>
    <w:p w14:paraId="603FC79D" w14:textId="6A1806F1" w:rsidR="00733358" w:rsidRPr="00733358" w:rsidRDefault="00733358" w:rsidP="00E12E41">
      <w:pPr>
        <w:jc w:val="both"/>
        <w:rPr>
          <w:sz w:val="32"/>
          <w:szCs w:val="32"/>
        </w:rPr>
      </w:pPr>
      <w:r w:rsidRPr="00733358">
        <w:rPr>
          <w:sz w:val="32"/>
          <w:szCs w:val="32"/>
        </w:rPr>
        <w:t>D/ Les exceptions pour la SF</w:t>
      </w:r>
    </w:p>
    <w:p w14:paraId="36CF3354" w14:textId="2CA8ADDA" w:rsidR="00733358" w:rsidRPr="00733358" w:rsidRDefault="00733358" w:rsidP="00E12E41">
      <w:pPr>
        <w:jc w:val="both"/>
        <w:rPr>
          <w:sz w:val="32"/>
          <w:szCs w:val="32"/>
        </w:rPr>
      </w:pPr>
      <w:r w:rsidRPr="00733358">
        <w:rPr>
          <w:sz w:val="32"/>
          <w:szCs w:val="32"/>
        </w:rPr>
        <w:t>§1 La journée complémentaire accorde une rallonge d’un mois</w:t>
      </w:r>
    </w:p>
    <w:p w14:paraId="5E225DE2" w14:textId="2A780D43" w:rsidR="00733358" w:rsidRPr="00733358" w:rsidRDefault="00733358" w:rsidP="00E12E41">
      <w:pPr>
        <w:jc w:val="both"/>
        <w:rPr>
          <w:sz w:val="32"/>
          <w:szCs w:val="32"/>
        </w:rPr>
      </w:pPr>
      <w:r w:rsidRPr="00733358">
        <w:rPr>
          <w:sz w:val="32"/>
          <w:szCs w:val="32"/>
        </w:rPr>
        <w:t>§2 Les AE/CP depuis l’ordonnance du 26 août 2005</w:t>
      </w:r>
    </w:p>
    <w:p w14:paraId="5AA189B2" w14:textId="022C6103" w:rsidR="00733358" w:rsidRPr="00733358" w:rsidRDefault="00733358" w:rsidP="00E12E41">
      <w:pPr>
        <w:jc w:val="both"/>
        <w:rPr>
          <w:sz w:val="32"/>
          <w:szCs w:val="32"/>
        </w:rPr>
      </w:pPr>
    </w:p>
    <w:p w14:paraId="7B92606A" w14:textId="63901237" w:rsidR="00733358" w:rsidRPr="00733358" w:rsidRDefault="00733358" w:rsidP="00E12E41">
      <w:pPr>
        <w:jc w:val="both"/>
        <w:rPr>
          <w:b/>
          <w:bCs/>
          <w:sz w:val="32"/>
          <w:szCs w:val="32"/>
        </w:rPr>
      </w:pPr>
      <w:r w:rsidRPr="00733358">
        <w:rPr>
          <w:b/>
          <w:bCs/>
          <w:sz w:val="32"/>
          <w:szCs w:val="32"/>
        </w:rPr>
        <w:t>CHAPITRE 2 : LES PRINCIPES D’UNIVERSALITÉ ET DE SPÉCIALITÉ</w:t>
      </w:r>
    </w:p>
    <w:p w14:paraId="2917A2F2" w14:textId="0AD2E506" w:rsidR="00733358" w:rsidRPr="00733358" w:rsidRDefault="00733358" w:rsidP="00E12E41">
      <w:pPr>
        <w:jc w:val="both"/>
        <w:rPr>
          <w:sz w:val="32"/>
          <w:szCs w:val="32"/>
        </w:rPr>
      </w:pPr>
    </w:p>
    <w:p w14:paraId="57A8D91E" w14:textId="73394C05" w:rsidR="00733358" w:rsidRPr="00733358" w:rsidRDefault="00733358" w:rsidP="00E12E41">
      <w:pPr>
        <w:jc w:val="both"/>
        <w:rPr>
          <w:b/>
          <w:bCs/>
          <w:sz w:val="32"/>
          <w:szCs w:val="32"/>
          <w:u w:val="single"/>
        </w:rPr>
      </w:pPr>
      <w:r w:rsidRPr="00733358">
        <w:rPr>
          <w:b/>
          <w:bCs/>
          <w:sz w:val="32"/>
          <w:szCs w:val="32"/>
          <w:u w:val="single"/>
        </w:rPr>
        <w:t>Section 1 Le principe d’universalité</w:t>
      </w:r>
    </w:p>
    <w:p w14:paraId="782659FE" w14:textId="725760FA" w:rsidR="00733358" w:rsidRPr="00733358" w:rsidRDefault="00733358" w:rsidP="00E12E41">
      <w:pPr>
        <w:jc w:val="both"/>
        <w:rPr>
          <w:sz w:val="32"/>
          <w:szCs w:val="32"/>
        </w:rPr>
      </w:pPr>
    </w:p>
    <w:p w14:paraId="1D3052D4" w14:textId="0EBECA6B" w:rsidR="00733358" w:rsidRPr="00733358" w:rsidRDefault="00733358" w:rsidP="00E12E41">
      <w:pPr>
        <w:jc w:val="both"/>
        <w:rPr>
          <w:sz w:val="32"/>
          <w:szCs w:val="32"/>
        </w:rPr>
      </w:pPr>
      <w:r w:rsidRPr="00733358">
        <w:rPr>
          <w:sz w:val="32"/>
          <w:szCs w:val="32"/>
        </w:rPr>
        <w:t>A/ La règle du produit brut</w:t>
      </w:r>
    </w:p>
    <w:p w14:paraId="48683187" w14:textId="65B7EFD8" w:rsidR="00733358" w:rsidRPr="00733358" w:rsidRDefault="00733358" w:rsidP="00E12E41">
      <w:pPr>
        <w:jc w:val="both"/>
        <w:rPr>
          <w:sz w:val="32"/>
          <w:szCs w:val="32"/>
        </w:rPr>
      </w:pPr>
      <w:r w:rsidRPr="00733358">
        <w:rPr>
          <w:sz w:val="32"/>
          <w:szCs w:val="32"/>
        </w:rPr>
        <w:t>§1 Principe</w:t>
      </w:r>
    </w:p>
    <w:p w14:paraId="5C791439" w14:textId="735396DA" w:rsidR="00733358" w:rsidRPr="00733358" w:rsidRDefault="00733358" w:rsidP="00E12E41">
      <w:pPr>
        <w:jc w:val="both"/>
        <w:rPr>
          <w:sz w:val="32"/>
          <w:szCs w:val="32"/>
        </w:rPr>
      </w:pPr>
      <w:r w:rsidRPr="00733358">
        <w:rPr>
          <w:sz w:val="32"/>
          <w:szCs w:val="32"/>
        </w:rPr>
        <w:t>§2 Exceptions limitées</w:t>
      </w:r>
    </w:p>
    <w:p w14:paraId="68CF165D" w14:textId="6B99E0A6" w:rsidR="00733358" w:rsidRPr="00733358" w:rsidRDefault="00733358" w:rsidP="00E12E41">
      <w:pPr>
        <w:jc w:val="both"/>
        <w:rPr>
          <w:sz w:val="32"/>
          <w:szCs w:val="32"/>
        </w:rPr>
      </w:pPr>
    </w:p>
    <w:p w14:paraId="094C2B9B" w14:textId="02A10C64" w:rsidR="00733358" w:rsidRPr="00733358" w:rsidRDefault="00733358" w:rsidP="00E12E41">
      <w:pPr>
        <w:jc w:val="both"/>
        <w:rPr>
          <w:sz w:val="32"/>
          <w:szCs w:val="32"/>
        </w:rPr>
      </w:pPr>
      <w:r w:rsidRPr="00733358">
        <w:rPr>
          <w:sz w:val="32"/>
          <w:szCs w:val="32"/>
        </w:rPr>
        <w:t>B/ La règle de non affectation des recettes</w:t>
      </w:r>
    </w:p>
    <w:p w14:paraId="77650522" w14:textId="25A3D77E" w:rsidR="00733358" w:rsidRPr="00733358" w:rsidRDefault="00733358" w:rsidP="00E12E41">
      <w:pPr>
        <w:jc w:val="both"/>
        <w:rPr>
          <w:sz w:val="32"/>
          <w:szCs w:val="32"/>
        </w:rPr>
      </w:pPr>
      <w:r w:rsidRPr="00733358">
        <w:rPr>
          <w:sz w:val="32"/>
          <w:szCs w:val="32"/>
        </w:rPr>
        <w:t xml:space="preserve">§1 Principe </w:t>
      </w:r>
    </w:p>
    <w:p w14:paraId="198EB1FA" w14:textId="602C5C9C" w:rsidR="00733358" w:rsidRPr="00733358" w:rsidRDefault="00733358" w:rsidP="00E12E41">
      <w:pPr>
        <w:jc w:val="both"/>
        <w:rPr>
          <w:sz w:val="32"/>
          <w:szCs w:val="32"/>
        </w:rPr>
      </w:pPr>
      <w:r w:rsidRPr="00733358">
        <w:rPr>
          <w:sz w:val="32"/>
          <w:szCs w:val="32"/>
        </w:rPr>
        <w:t xml:space="preserve">§2 Exceptions : </w:t>
      </w:r>
    </w:p>
    <w:p w14:paraId="20E9C083" w14:textId="1D01D373" w:rsidR="00733358" w:rsidRPr="00733358" w:rsidRDefault="00733358" w:rsidP="00733358">
      <w:pPr>
        <w:pStyle w:val="Paragraphedeliste"/>
        <w:numPr>
          <w:ilvl w:val="0"/>
          <w:numId w:val="1"/>
        </w:numPr>
        <w:jc w:val="both"/>
        <w:rPr>
          <w:sz w:val="32"/>
          <w:szCs w:val="32"/>
        </w:rPr>
      </w:pPr>
      <w:r w:rsidRPr="00733358">
        <w:rPr>
          <w:sz w:val="32"/>
          <w:szCs w:val="32"/>
        </w:rPr>
        <w:t>Budgets annexes</w:t>
      </w:r>
    </w:p>
    <w:p w14:paraId="6A199DBE" w14:textId="4511B563" w:rsidR="00733358" w:rsidRPr="00733358" w:rsidRDefault="00733358" w:rsidP="00733358">
      <w:pPr>
        <w:pStyle w:val="Paragraphedeliste"/>
        <w:numPr>
          <w:ilvl w:val="0"/>
          <w:numId w:val="1"/>
        </w:numPr>
        <w:jc w:val="both"/>
        <w:rPr>
          <w:sz w:val="32"/>
          <w:szCs w:val="32"/>
        </w:rPr>
      </w:pPr>
      <w:r w:rsidRPr="00733358">
        <w:rPr>
          <w:sz w:val="32"/>
          <w:szCs w:val="32"/>
        </w:rPr>
        <w:t>Fonds de concours</w:t>
      </w:r>
    </w:p>
    <w:p w14:paraId="53687FDD" w14:textId="4962C8C4" w:rsidR="00733358" w:rsidRPr="00733358" w:rsidRDefault="00733358" w:rsidP="00733358">
      <w:pPr>
        <w:pStyle w:val="Paragraphedeliste"/>
        <w:numPr>
          <w:ilvl w:val="0"/>
          <w:numId w:val="1"/>
        </w:numPr>
        <w:jc w:val="both"/>
        <w:rPr>
          <w:sz w:val="32"/>
          <w:szCs w:val="32"/>
        </w:rPr>
      </w:pPr>
      <w:r w:rsidRPr="00733358">
        <w:rPr>
          <w:sz w:val="32"/>
          <w:szCs w:val="32"/>
        </w:rPr>
        <w:t>Produits d’emprunts</w:t>
      </w:r>
    </w:p>
    <w:p w14:paraId="6DBCEB14" w14:textId="13DB7AE3" w:rsidR="00733358" w:rsidRPr="00733358" w:rsidRDefault="00733358" w:rsidP="00733358">
      <w:pPr>
        <w:pStyle w:val="Paragraphedeliste"/>
        <w:numPr>
          <w:ilvl w:val="0"/>
          <w:numId w:val="1"/>
        </w:numPr>
        <w:jc w:val="both"/>
        <w:rPr>
          <w:sz w:val="32"/>
          <w:szCs w:val="32"/>
        </w:rPr>
      </w:pPr>
      <w:r w:rsidRPr="00733358">
        <w:rPr>
          <w:sz w:val="32"/>
          <w:szCs w:val="32"/>
        </w:rPr>
        <w:t>Recettes affectées au sein de la SI</w:t>
      </w:r>
    </w:p>
    <w:p w14:paraId="66060D89" w14:textId="0ED08679" w:rsidR="00733358" w:rsidRPr="00733358" w:rsidRDefault="00733358" w:rsidP="00733358">
      <w:pPr>
        <w:pStyle w:val="Paragraphedeliste"/>
        <w:numPr>
          <w:ilvl w:val="0"/>
          <w:numId w:val="1"/>
        </w:numPr>
        <w:jc w:val="both"/>
        <w:rPr>
          <w:sz w:val="32"/>
          <w:szCs w:val="32"/>
        </w:rPr>
      </w:pPr>
      <w:r w:rsidRPr="00733358">
        <w:rPr>
          <w:sz w:val="32"/>
          <w:szCs w:val="32"/>
        </w:rPr>
        <w:t>Virement de la SF sur la SI</w:t>
      </w:r>
    </w:p>
    <w:p w14:paraId="70C39078" w14:textId="47BDBC9B" w:rsidR="00733358" w:rsidRPr="00733358" w:rsidRDefault="00733358" w:rsidP="00733358">
      <w:pPr>
        <w:jc w:val="both"/>
        <w:rPr>
          <w:sz w:val="32"/>
          <w:szCs w:val="32"/>
        </w:rPr>
      </w:pPr>
    </w:p>
    <w:p w14:paraId="54F97175" w14:textId="281D1FA3" w:rsidR="00733358" w:rsidRPr="00733358" w:rsidRDefault="00733358" w:rsidP="00733358">
      <w:pPr>
        <w:jc w:val="both"/>
        <w:rPr>
          <w:b/>
          <w:bCs/>
          <w:sz w:val="32"/>
          <w:szCs w:val="32"/>
          <w:u w:val="single"/>
        </w:rPr>
      </w:pPr>
      <w:r w:rsidRPr="00733358">
        <w:rPr>
          <w:b/>
          <w:bCs/>
          <w:sz w:val="32"/>
          <w:szCs w:val="32"/>
          <w:u w:val="single"/>
        </w:rPr>
        <w:t>Section 2 Le principe de spécialité</w:t>
      </w:r>
    </w:p>
    <w:p w14:paraId="00537959" w14:textId="1D63099A" w:rsidR="00733358" w:rsidRPr="00733358" w:rsidRDefault="00733358" w:rsidP="00733358">
      <w:pPr>
        <w:jc w:val="both"/>
        <w:rPr>
          <w:sz w:val="32"/>
          <w:szCs w:val="32"/>
        </w:rPr>
      </w:pPr>
    </w:p>
    <w:p w14:paraId="7B740A3F" w14:textId="14A52E43" w:rsidR="00733358" w:rsidRPr="00733358" w:rsidRDefault="00733358" w:rsidP="00733358">
      <w:pPr>
        <w:jc w:val="both"/>
        <w:rPr>
          <w:sz w:val="32"/>
          <w:szCs w:val="32"/>
        </w:rPr>
      </w:pPr>
      <w:r w:rsidRPr="00733358">
        <w:rPr>
          <w:sz w:val="32"/>
          <w:szCs w:val="32"/>
        </w:rPr>
        <w:lastRenderedPageBreak/>
        <w:t>A/ Au stade du vote</w:t>
      </w:r>
    </w:p>
    <w:p w14:paraId="1FEC710C" w14:textId="673864D6" w:rsidR="00733358" w:rsidRPr="00733358" w:rsidRDefault="00733358" w:rsidP="00733358">
      <w:pPr>
        <w:jc w:val="both"/>
        <w:rPr>
          <w:sz w:val="32"/>
          <w:szCs w:val="32"/>
        </w:rPr>
      </w:pPr>
      <w:r w:rsidRPr="00733358">
        <w:rPr>
          <w:sz w:val="32"/>
          <w:szCs w:val="32"/>
        </w:rPr>
        <w:t>§1 La règle</w:t>
      </w:r>
    </w:p>
    <w:p w14:paraId="6855051E" w14:textId="6CA5E55D" w:rsidR="00733358" w:rsidRPr="00733358" w:rsidRDefault="00733358" w:rsidP="00733358">
      <w:pPr>
        <w:jc w:val="both"/>
        <w:rPr>
          <w:sz w:val="32"/>
          <w:szCs w:val="32"/>
        </w:rPr>
      </w:pPr>
      <w:r w:rsidRPr="00733358">
        <w:rPr>
          <w:sz w:val="32"/>
          <w:szCs w:val="32"/>
        </w:rPr>
        <w:t>§2 L’exception résultant de la jurisprudence</w:t>
      </w:r>
    </w:p>
    <w:p w14:paraId="335D142D" w14:textId="14DBD1B3" w:rsidR="00733358" w:rsidRPr="00733358" w:rsidRDefault="00733358" w:rsidP="00733358">
      <w:pPr>
        <w:jc w:val="both"/>
        <w:rPr>
          <w:sz w:val="32"/>
          <w:szCs w:val="32"/>
        </w:rPr>
      </w:pPr>
    </w:p>
    <w:p w14:paraId="50088137" w14:textId="59B6C534" w:rsidR="00733358" w:rsidRPr="00733358" w:rsidRDefault="00733358" w:rsidP="00733358">
      <w:pPr>
        <w:jc w:val="both"/>
        <w:rPr>
          <w:sz w:val="32"/>
          <w:szCs w:val="32"/>
        </w:rPr>
      </w:pPr>
      <w:r w:rsidRPr="00733358">
        <w:rPr>
          <w:sz w:val="32"/>
          <w:szCs w:val="32"/>
        </w:rPr>
        <w:t>B/ Au stade de l’exécution</w:t>
      </w:r>
    </w:p>
    <w:p w14:paraId="53B8410B" w14:textId="0B07EE89" w:rsidR="00733358" w:rsidRPr="00733358" w:rsidRDefault="00733358" w:rsidP="00733358">
      <w:pPr>
        <w:jc w:val="both"/>
        <w:rPr>
          <w:sz w:val="32"/>
          <w:szCs w:val="32"/>
        </w:rPr>
      </w:pPr>
      <w:r w:rsidRPr="00733358">
        <w:rPr>
          <w:sz w:val="32"/>
          <w:szCs w:val="32"/>
        </w:rPr>
        <w:t>§1 La théorie</w:t>
      </w:r>
    </w:p>
    <w:p w14:paraId="4A56B8BD" w14:textId="39882477" w:rsidR="00733358" w:rsidRPr="00733358" w:rsidRDefault="00733358" w:rsidP="00733358">
      <w:pPr>
        <w:jc w:val="both"/>
        <w:rPr>
          <w:sz w:val="32"/>
          <w:szCs w:val="32"/>
        </w:rPr>
      </w:pPr>
      <w:r w:rsidRPr="00733358">
        <w:rPr>
          <w:sz w:val="32"/>
          <w:szCs w:val="32"/>
        </w:rPr>
        <w:t>§2 La pratique</w:t>
      </w:r>
    </w:p>
    <w:p w14:paraId="7F97D210" w14:textId="7E629ABB" w:rsidR="00A961F1" w:rsidRPr="00733358" w:rsidRDefault="00A961F1" w:rsidP="00E12E41">
      <w:pPr>
        <w:jc w:val="both"/>
        <w:rPr>
          <w:sz w:val="32"/>
          <w:szCs w:val="32"/>
        </w:rPr>
      </w:pPr>
    </w:p>
    <w:p w14:paraId="27D6FFEE" w14:textId="77777777" w:rsidR="00A961F1" w:rsidRPr="00733358" w:rsidRDefault="00A961F1" w:rsidP="00E12E41">
      <w:pPr>
        <w:jc w:val="both"/>
        <w:rPr>
          <w:sz w:val="32"/>
          <w:szCs w:val="32"/>
        </w:rPr>
      </w:pPr>
    </w:p>
    <w:sectPr w:rsidR="00A961F1" w:rsidRPr="00733358" w:rsidSect="00733358">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347CD" w14:textId="77777777" w:rsidR="005C5AD6" w:rsidRDefault="005C5AD6" w:rsidP="00733358">
      <w:r>
        <w:separator/>
      </w:r>
    </w:p>
  </w:endnote>
  <w:endnote w:type="continuationSeparator" w:id="0">
    <w:p w14:paraId="21A09BEE" w14:textId="77777777" w:rsidR="005C5AD6" w:rsidRDefault="005C5AD6" w:rsidP="0073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79467537"/>
      <w:docPartObj>
        <w:docPartGallery w:val="Page Numbers (Bottom of Page)"/>
        <w:docPartUnique/>
      </w:docPartObj>
    </w:sdtPr>
    <w:sdtContent>
      <w:p w14:paraId="608148CB" w14:textId="5A96ED8D" w:rsidR="00733358" w:rsidRDefault="00733358" w:rsidP="0018048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F91AAE" w14:textId="77777777" w:rsidR="00733358" w:rsidRDefault="007333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6175087"/>
      <w:docPartObj>
        <w:docPartGallery w:val="Page Numbers (Bottom of Page)"/>
        <w:docPartUnique/>
      </w:docPartObj>
    </w:sdtPr>
    <w:sdtContent>
      <w:p w14:paraId="31E04857" w14:textId="053EE070" w:rsidR="00733358" w:rsidRDefault="00733358" w:rsidP="0018048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9FCCA0E" w14:textId="77777777" w:rsidR="00733358" w:rsidRDefault="007333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77F69" w14:textId="77777777" w:rsidR="005C5AD6" w:rsidRDefault="005C5AD6" w:rsidP="00733358">
      <w:r>
        <w:separator/>
      </w:r>
    </w:p>
  </w:footnote>
  <w:footnote w:type="continuationSeparator" w:id="0">
    <w:p w14:paraId="1FFD4AE9" w14:textId="77777777" w:rsidR="005C5AD6" w:rsidRDefault="005C5AD6" w:rsidP="0073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9B6363"/>
    <w:multiLevelType w:val="hybridMultilevel"/>
    <w:tmpl w:val="031C92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41"/>
    <w:rsid w:val="001A071B"/>
    <w:rsid w:val="005C5AD6"/>
    <w:rsid w:val="00733358"/>
    <w:rsid w:val="00A961F1"/>
    <w:rsid w:val="00E12E41"/>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F2463C"/>
  <w15:chartTrackingRefBased/>
  <w15:docId w15:val="{E52E23DC-C729-C642-988D-E3FD4DCF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3358"/>
    <w:pPr>
      <w:ind w:left="720"/>
      <w:contextualSpacing/>
    </w:pPr>
  </w:style>
  <w:style w:type="paragraph" w:styleId="Pieddepage">
    <w:name w:val="footer"/>
    <w:basedOn w:val="Normal"/>
    <w:link w:val="PieddepageCar"/>
    <w:uiPriority w:val="99"/>
    <w:unhideWhenUsed/>
    <w:rsid w:val="00733358"/>
    <w:pPr>
      <w:tabs>
        <w:tab w:val="center" w:pos="4536"/>
        <w:tab w:val="right" w:pos="9072"/>
      </w:tabs>
    </w:pPr>
  </w:style>
  <w:style w:type="character" w:customStyle="1" w:styleId="PieddepageCar">
    <w:name w:val="Pied de page Car"/>
    <w:basedOn w:val="Policepardfaut"/>
    <w:link w:val="Pieddepage"/>
    <w:uiPriority w:val="99"/>
    <w:rsid w:val="00733358"/>
  </w:style>
  <w:style w:type="character" w:styleId="Numrodepage">
    <w:name w:val="page number"/>
    <w:basedOn w:val="Policepardfaut"/>
    <w:uiPriority w:val="99"/>
    <w:semiHidden/>
    <w:unhideWhenUsed/>
    <w:rsid w:val="0073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411</Words>
  <Characters>2265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cp:lastPrinted>2021-02-08T00:18:00Z</cp:lastPrinted>
  <dcterms:created xsi:type="dcterms:W3CDTF">2021-02-07T23:48:00Z</dcterms:created>
  <dcterms:modified xsi:type="dcterms:W3CDTF">2021-02-08T00:19:00Z</dcterms:modified>
</cp:coreProperties>
</file>