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6D103" w14:textId="77777777" w:rsidR="00A662D2" w:rsidRDefault="00A662D2"/>
    <w:p w14:paraId="68FD0CE5" w14:textId="77777777" w:rsidR="007D7FCB" w:rsidRDefault="007D7FCB"/>
    <w:p w14:paraId="4EE49EDC" w14:textId="77777777" w:rsidR="007D7FCB" w:rsidRDefault="007D7FCB"/>
    <w:p w14:paraId="33AF3D75" w14:textId="77777777" w:rsidR="007D7FCB" w:rsidRDefault="007D7FCB"/>
    <w:p w14:paraId="64D57BAE" w14:textId="77777777" w:rsidR="007D7FCB" w:rsidRPr="007D7FCB" w:rsidRDefault="007D7FCB" w:rsidP="007D7FCB">
      <w:pPr>
        <w:jc w:val="center"/>
        <w:rPr>
          <w:b/>
          <w:sz w:val="96"/>
          <w:szCs w:val="96"/>
        </w:rPr>
      </w:pPr>
      <w:r w:rsidRPr="007D7FCB">
        <w:rPr>
          <w:b/>
          <w:sz w:val="96"/>
          <w:szCs w:val="96"/>
        </w:rPr>
        <w:t>QCM-20-IRA</w:t>
      </w:r>
    </w:p>
    <w:p w14:paraId="6CF6BBAB" w14:textId="3A79B6AA" w:rsidR="007D7FCB" w:rsidRPr="00E14885" w:rsidRDefault="00E14885" w:rsidP="00E14885">
      <w:pPr>
        <w:jc w:val="center"/>
        <w:rPr>
          <w:b/>
          <w:sz w:val="36"/>
          <w:szCs w:val="36"/>
        </w:rPr>
      </w:pPr>
      <w:r w:rsidRPr="00E14885">
        <w:rPr>
          <w:b/>
          <w:sz w:val="36"/>
          <w:szCs w:val="36"/>
        </w:rPr>
        <w:t>(DISCIPLINE)</w:t>
      </w:r>
    </w:p>
    <w:p w14:paraId="508A79D1" w14:textId="77777777" w:rsidR="007D7FCB" w:rsidRDefault="007D7FCB"/>
    <w:p w14:paraId="6B7039F0" w14:textId="77777777" w:rsidR="007D7FCB" w:rsidRDefault="007D7FCB"/>
    <w:p w14:paraId="3999EC10" w14:textId="77777777" w:rsidR="007E528E" w:rsidRDefault="007E528E" w:rsidP="007D7FCB">
      <w:pPr>
        <w:rPr>
          <w:b/>
          <w:sz w:val="32"/>
          <w:szCs w:val="32"/>
        </w:rPr>
      </w:pPr>
    </w:p>
    <w:p w14:paraId="4B6BA56C" w14:textId="30CDDA17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 : </w:t>
      </w:r>
      <w:r w:rsidR="00C352D0">
        <w:rPr>
          <w:b/>
          <w:sz w:val="32"/>
          <w:szCs w:val="32"/>
        </w:rPr>
        <w:t xml:space="preserve">Une Loi de programmation des Finances publiques couvre une période de </w:t>
      </w:r>
    </w:p>
    <w:p w14:paraId="7BB5F62C" w14:textId="65B8C71B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C352D0">
        <w:rPr>
          <w:sz w:val="32"/>
          <w:szCs w:val="32"/>
        </w:rPr>
        <w:t xml:space="preserve"> 3 ans</w:t>
      </w:r>
    </w:p>
    <w:p w14:paraId="0EB2034D" w14:textId="7CBB525D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352D0">
        <w:rPr>
          <w:sz w:val="32"/>
          <w:szCs w:val="32"/>
        </w:rPr>
        <w:t xml:space="preserve"> 4 ans</w:t>
      </w:r>
    </w:p>
    <w:p w14:paraId="5E356AA0" w14:textId="3953A7C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C352D0">
        <w:rPr>
          <w:sz w:val="32"/>
          <w:szCs w:val="32"/>
        </w:rPr>
        <w:t xml:space="preserve"> 5 ans</w:t>
      </w:r>
    </w:p>
    <w:p w14:paraId="42486B2B" w14:textId="77777777" w:rsidR="007D7FCB" w:rsidRDefault="007D7FCB" w:rsidP="007D7FCB">
      <w:pPr>
        <w:rPr>
          <w:sz w:val="32"/>
          <w:szCs w:val="32"/>
        </w:rPr>
      </w:pPr>
    </w:p>
    <w:p w14:paraId="3B1E054E" w14:textId="77777777" w:rsidR="00223BCF" w:rsidRDefault="00223BCF" w:rsidP="007D7FCB">
      <w:pPr>
        <w:rPr>
          <w:sz w:val="32"/>
          <w:szCs w:val="32"/>
        </w:rPr>
      </w:pPr>
    </w:p>
    <w:p w14:paraId="23B5AC20" w14:textId="77777777" w:rsidR="007E528E" w:rsidRPr="005F579A" w:rsidRDefault="007E528E" w:rsidP="007D7FCB">
      <w:pPr>
        <w:rPr>
          <w:sz w:val="32"/>
          <w:szCs w:val="32"/>
        </w:rPr>
      </w:pPr>
    </w:p>
    <w:p w14:paraId="6F4431CD" w14:textId="64346444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n°2 : </w:t>
      </w:r>
      <w:r w:rsidR="00C352D0">
        <w:rPr>
          <w:b/>
          <w:sz w:val="32"/>
          <w:szCs w:val="32"/>
        </w:rPr>
        <w:t xml:space="preserve">Les Lois de programmation des Finances publiques sont prévues par </w:t>
      </w:r>
    </w:p>
    <w:p w14:paraId="263775DE" w14:textId="27D25DD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C352D0">
        <w:rPr>
          <w:sz w:val="32"/>
          <w:szCs w:val="32"/>
        </w:rPr>
        <w:t xml:space="preserve"> L’article 34 de la Constitution</w:t>
      </w:r>
    </w:p>
    <w:p w14:paraId="38B18ACF" w14:textId="1BD992C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442FD">
        <w:rPr>
          <w:sz w:val="32"/>
          <w:szCs w:val="32"/>
        </w:rPr>
        <w:t xml:space="preserve"> La Loi Organique du 1</w:t>
      </w:r>
      <w:r w:rsidR="00B442FD" w:rsidRPr="00B442FD">
        <w:rPr>
          <w:sz w:val="32"/>
          <w:szCs w:val="32"/>
          <w:vertAlign w:val="superscript"/>
        </w:rPr>
        <w:t>er</w:t>
      </w:r>
      <w:r w:rsidR="00B442FD">
        <w:rPr>
          <w:sz w:val="32"/>
          <w:szCs w:val="32"/>
        </w:rPr>
        <w:t xml:space="preserve"> août 2001 relative aux Lois de Finances</w:t>
      </w:r>
    </w:p>
    <w:p w14:paraId="0E26F3C8" w14:textId="3BA63847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442FD">
        <w:rPr>
          <w:sz w:val="32"/>
          <w:szCs w:val="32"/>
        </w:rPr>
        <w:t xml:space="preserve"> La Loi Organique du 17 décembre 2012 sur la programmation et la gouvernance des Finances publiques</w:t>
      </w:r>
    </w:p>
    <w:p w14:paraId="0762E533" w14:textId="77777777" w:rsidR="007D7FCB" w:rsidRDefault="007D7FCB">
      <w:pPr>
        <w:rPr>
          <w:sz w:val="32"/>
          <w:szCs w:val="32"/>
        </w:rPr>
      </w:pPr>
    </w:p>
    <w:p w14:paraId="09BE6658" w14:textId="77777777" w:rsidR="00223BCF" w:rsidRDefault="00223BCF">
      <w:pPr>
        <w:rPr>
          <w:sz w:val="32"/>
          <w:szCs w:val="32"/>
        </w:rPr>
      </w:pPr>
    </w:p>
    <w:p w14:paraId="0B99200B" w14:textId="77777777" w:rsidR="007E528E" w:rsidRPr="005F579A" w:rsidRDefault="007E528E">
      <w:pPr>
        <w:rPr>
          <w:sz w:val="32"/>
          <w:szCs w:val="32"/>
        </w:rPr>
      </w:pPr>
    </w:p>
    <w:p w14:paraId="77FF8913" w14:textId="0F978F41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n°3 : </w:t>
      </w:r>
      <w:r w:rsidR="00C352D0">
        <w:rPr>
          <w:b/>
          <w:sz w:val="32"/>
          <w:szCs w:val="32"/>
        </w:rPr>
        <w:t>Quel est le principe budgétaire qui est à l’origine de tous les autres ?</w:t>
      </w:r>
    </w:p>
    <w:p w14:paraId="213A9CE8" w14:textId="6CA7CD0D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69519B">
        <w:rPr>
          <w:sz w:val="32"/>
          <w:szCs w:val="32"/>
        </w:rPr>
        <w:t xml:space="preserve"> La spécialité</w:t>
      </w:r>
      <w:bookmarkStart w:id="0" w:name="_GoBack"/>
      <w:bookmarkEnd w:id="0"/>
    </w:p>
    <w:p w14:paraId="60A2459F" w14:textId="3A1235AF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352D0">
        <w:rPr>
          <w:sz w:val="32"/>
          <w:szCs w:val="32"/>
        </w:rPr>
        <w:t xml:space="preserve"> L’annualité</w:t>
      </w:r>
    </w:p>
    <w:p w14:paraId="4C55E0B1" w14:textId="67A23E2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C352D0">
        <w:rPr>
          <w:sz w:val="32"/>
          <w:szCs w:val="32"/>
        </w:rPr>
        <w:t xml:space="preserve"> La sincérité</w:t>
      </w:r>
    </w:p>
    <w:p w14:paraId="1599D0C7" w14:textId="77777777" w:rsidR="007D7FCB" w:rsidRDefault="007D7FCB" w:rsidP="007D7FCB">
      <w:pPr>
        <w:rPr>
          <w:sz w:val="32"/>
          <w:szCs w:val="32"/>
        </w:rPr>
      </w:pPr>
    </w:p>
    <w:p w14:paraId="6868EBBF" w14:textId="77777777" w:rsidR="00223BCF" w:rsidRDefault="00223BCF" w:rsidP="007D7FCB">
      <w:pPr>
        <w:rPr>
          <w:sz w:val="32"/>
          <w:szCs w:val="32"/>
        </w:rPr>
      </w:pPr>
    </w:p>
    <w:p w14:paraId="0C6F065D" w14:textId="77777777" w:rsidR="007E528E" w:rsidRPr="005F579A" w:rsidRDefault="007E528E" w:rsidP="007D7FCB">
      <w:pPr>
        <w:rPr>
          <w:sz w:val="32"/>
          <w:szCs w:val="32"/>
        </w:rPr>
      </w:pPr>
    </w:p>
    <w:p w14:paraId="48EB1A0A" w14:textId="6620A572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n°4 : </w:t>
      </w:r>
      <w:r w:rsidR="00C352D0">
        <w:rPr>
          <w:b/>
          <w:sz w:val="32"/>
          <w:szCs w:val="32"/>
        </w:rPr>
        <w:t>Quels sont les deux principes qui se contredisent ?</w:t>
      </w:r>
    </w:p>
    <w:p w14:paraId="7E52D0DD" w14:textId="0D7802A6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C352D0">
        <w:rPr>
          <w:sz w:val="32"/>
          <w:szCs w:val="32"/>
        </w:rPr>
        <w:t xml:space="preserve"> Équilibre et Universalité</w:t>
      </w:r>
    </w:p>
    <w:p w14:paraId="4A23A951" w14:textId="500A53ED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352D0">
        <w:rPr>
          <w:sz w:val="32"/>
          <w:szCs w:val="32"/>
        </w:rPr>
        <w:t xml:space="preserve"> Annualité et équilibre</w:t>
      </w:r>
    </w:p>
    <w:p w14:paraId="55236C28" w14:textId="374278B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C352D0">
        <w:rPr>
          <w:sz w:val="32"/>
          <w:szCs w:val="32"/>
        </w:rPr>
        <w:t xml:space="preserve"> Unité et universalité</w:t>
      </w:r>
    </w:p>
    <w:p w14:paraId="4AF90B4E" w14:textId="77777777" w:rsidR="007D7FCB" w:rsidRPr="005F579A" w:rsidRDefault="007D7FCB">
      <w:pPr>
        <w:rPr>
          <w:sz w:val="32"/>
          <w:szCs w:val="32"/>
        </w:rPr>
      </w:pPr>
    </w:p>
    <w:p w14:paraId="1A53D263" w14:textId="77777777" w:rsidR="007E528E" w:rsidRDefault="007E528E" w:rsidP="007D7FCB">
      <w:pPr>
        <w:rPr>
          <w:b/>
          <w:sz w:val="32"/>
          <w:szCs w:val="32"/>
        </w:rPr>
      </w:pPr>
    </w:p>
    <w:p w14:paraId="4F3381D5" w14:textId="36A43A23" w:rsidR="007D7FCB" w:rsidRPr="005F579A" w:rsidRDefault="007D7FCB" w:rsidP="0069519B">
      <w:pPr>
        <w:jc w:val="both"/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n°5 : </w:t>
      </w:r>
      <w:r w:rsidR="005D6E33">
        <w:rPr>
          <w:b/>
          <w:sz w:val="32"/>
          <w:szCs w:val="32"/>
        </w:rPr>
        <w:t>Cochez la ligne ne correspondant pas à une exception au principe de la spécialité budgétaire</w:t>
      </w:r>
      <w:r w:rsidR="008E5EB5">
        <w:rPr>
          <w:b/>
          <w:sz w:val="32"/>
          <w:szCs w:val="32"/>
        </w:rPr>
        <w:t> ?</w:t>
      </w:r>
    </w:p>
    <w:p w14:paraId="0608A1B3" w14:textId="70F82A7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5D6E33">
        <w:rPr>
          <w:sz w:val="32"/>
          <w:szCs w:val="32"/>
        </w:rPr>
        <w:t xml:space="preserve"> Les virements de crédits (art. 12 de la LOLF)</w:t>
      </w:r>
    </w:p>
    <w:p w14:paraId="142FF0ED" w14:textId="08E4D320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5D6E33">
        <w:rPr>
          <w:sz w:val="32"/>
          <w:szCs w:val="32"/>
        </w:rPr>
        <w:t xml:space="preserve"> Les transferts de crédits (art. 12 de la LOLF)</w:t>
      </w:r>
    </w:p>
    <w:p w14:paraId="1B5158AC" w14:textId="135D18D3" w:rsidR="005D6E33" w:rsidRDefault="00B442FD" w:rsidP="007D7FCB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5D6E33">
        <w:rPr>
          <w:sz w:val="32"/>
          <w:szCs w:val="32"/>
        </w:rPr>
        <w:t>/ Les dotations constituant des réserves budgétaires (art. 7 LOLF)</w:t>
      </w:r>
    </w:p>
    <w:p w14:paraId="47395380" w14:textId="65836185" w:rsidR="005D6E33" w:rsidRPr="005F579A" w:rsidRDefault="00B442FD" w:rsidP="007D7FCB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5D6E33">
        <w:rPr>
          <w:sz w:val="32"/>
          <w:szCs w:val="32"/>
        </w:rPr>
        <w:t>/ Les fonds spéciaux ou fonds secrets au sein des crédits de Matignon</w:t>
      </w:r>
    </w:p>
    <w:p w14:paraId="7025F546" w14:textId="77777777" w:rsidR="007D7FCB" w:rsidRPr="005F579A" w:rsidRDefault="007D7FCB" w:rsidP="007D7FCB">
      <w:pPr>
        <w:rPr>
          <w:sz w:val="32"/>
          <w:szCs w:val="32"/>
        </w:rPr>
      </w:pPr>
    </w:p>
    <w:p w14:paraId="493F85D7" w14:textId="77777777" w:rsidR="007E528E" w:rsidRDefault="007E528E" w:rsidP="007D7FCB">
      <w:pPr>
        <w:rPr>
          <w:b/>
          <w:sz w:val="32"/>
          <w:szCs w:val="32"/>
        </w:rPr>
      </w:pPr>
    </w:p>
    <w:p w14:paraId="1C28FDEB" w14:textId="77777777" w:rsidR="00223BCF" w:rsidRDefault="00223BCF" w:rsidP="007D7FCB">
      <w:pPr>
        <w:rPr>
          <w:b/>
          <w:sz w:val="32"/>
          <w:szCs w:val="32"/>
        </w:rPr>
      </w:pPr>
    </w:p>
    <w:p w14:paraId="7B3F62D5" w14:textId="0B926B22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n°6 : </w:t>
      </w:r>
      <w:r w:rsidR="008E5EB5">
        <w:rPr>
          <w:b/>
          <w:sz w:val="32"/>
          <w:szCs w:val="32"/>
        </w:rPr>
        <w:t xml:space="preserve"> Le Two-Pack s’applique</w:t>
      </w:r>
    </w:p>
    <w:p w14:paraId="49BF6E81" w14:textId="31ED4F5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8E5EB5">
        <w:rPr>
          <w:sz w:val="32"/>
          <w:szCs w:val="32"/>
        </w:rPr>
        <w:t xml:space="preserve"> Seulement aux États membres de la zone euro</w:t>
      </w:r>
    </w:p>
    <w:p w14:paraId="4FFF1EB5" w14:textId="45628730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8E5EB5">
        <w:rPr>
          <w:sz w:val="32"/>
          <w:szCs w:val="32"/>
        </w:rPr>
        <w:t xml:space="preserve"> Seulement aux États membres de l’UE</w:t>
      </w:r>
    </w:p>
    <w:p w14:paraId="0949E96A" w14:textId="3499625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8E5EB5">
        <w:rPr>
          <w:sz w:val="32"/>
          <w:szCs w:val="32"/>
        </w:rPr>
        <w:t xml:space="preserve"> Seulement aux États membres de l’EEE</w:t>
      </w:r>
    </w:p>
    <w:p w14:paraId="738C2AF2" w14:textId="77777777" w:rsidR="007D7FCB" w:rsidRPr="005F579A" w:rsidRDefault="007D7FCB" w:rsidP="007D7FCB">
      <w:pPr>
        <w:rPr>
          <w:sz w:val="32"/>
          <w:szCs w:val="32"/>
        </w:rPr>
      </w:pPr>
    </w:p>
    <w:p w14:paraId="24FE5CF4" w14:textId="77777777" w:rsidR="007E528E" w:rsidRDefault="007E528E" w:rsidP="007D7FCB">
      <w:pPr>
        <w:rPr>
          <w:b/>
          <w:sz w:val="32"/>
          <w:szCs w:val="32"/>
        </w:rPr>
      </w:pPr>
    </w:p>
    <w:p w14:paraId="635882E5" w14:textId="2FE91DFF" w:rsidR="007D7FCB" w:rsidRPr="005F579A" w:rsidRDefault="007D7FCB" w:rsidP="0069519B">
      <w:pPr>
        <w:jc w:val="both"/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n°7 : </w:t>
      </w:r>
      <w:r w:rsidR="0003586E">
        <w:rPr>
          <w:b/>
          <w:sz w:val="32"/>
          <w:szCs w:val="32"/>
        </w:rPr>
        <w:t xml:space="preserve">La </w:t>
      </w:r>
      <w:r w:rsidR="0069519B">
        <w:rPr>
          <w:b/>
          <w:sz w:val="32"/>
          <w:szCs w:val="32"/>
        </w:rPr>
        <w:t xml:space="preserve">seule petite </w:t>
      </w:r>
      <w:r w:rsidR="0003586E">
        <w:rPr>
          <w:b/>
          <w:sz w:val="32"/>
          <w:szCs w:val="32"/>
        </w:rPr>
        <w:t>période d’excédents budgétaires sous la Vème République a été :</w:t>
      </w:r>
    </w:p>
    <w:p w14:paraId="55A26421" w14:textId="7390D05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3586E">
        <w:rPr>
          <w:sz w:val="32"/>
          <w:szCs w:val="32"/>
        </w:rPr>
        <w:t xml:space="preserve"> de 1969 à 1974</w:t>
      </w:r>
    </w:p>
    <w:p w14:paraId="51E83721" w14:textId="7780116D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03586E">
        <w:rPr>
          <w:sz w:val="32"/>
          <w:szCs w:val="32"/>
        </w:rPr>
        <w:t xml:space="preserve"> </w:t>
      </w:r>
      <w:r w:rsidR="00591BC0">
        <w:rPr>
          <w:sz w:val="32"/>
          <w:szCs w:val="32"/>
        </w:rPr>
        <w:t xml:space="preserve">l’année </w:t>
      </w:r>
      <w:r w:rsidR="0003586E">
        <w:rPr>
          <w:sz w:val="32"/>
          <w:szCs w:val="32"/>
        </w:rPr>
        <w:t>1970 puis de 1972 à 1974</w:t>
      </w:r>
    </w:p>
    <w:p w14:paraId="5497D177" w14:textId="381F1207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03586E">
        <w:rPr>
          <w:sz w:val="32"/>
          <w:szCs w:val="32"/>
        </w:rPr>
        <w:t xml:space="preserve"> de 1970 à 1974</w:t>
      </w:r>
    </w:p>
    <w:p w14:paraId="5F4BB252" w14:textId="77777777" w:rsidR="007D7FCB" w:rsidRDefault="007D7FCB" w:rsidP="007D7FCB">
      <w:pPr>
        <w:rPr>
          <w:sz w:val="32"/>
          <w:szCs w:val="32"/>
        </w:rPr>
      </w:pPr>
    </w:p>
    <w:p w14:paraId="6BA1D9B0" w14:textId="77777777" w:rsidR="00223BCF" w:rsidRPr="005F579A" w:rsidRDefault="00223BCF" w:rsidP="007D7FCB">
      <w:pPr>
        <w:rPr>
          <w:sz w:val="32"/>
          <w:szCs w:val="32"/>
        </w:rPr>
      </w:pPr>
    </w:p>
    <w:p w14:paraId="4D40B9EE" w14:textId="77777777" w:rsidR="007E528E" w:rsidRDefault="007E528E" w:rsidP="007D7FCB">
      <w:pPr>
        <w:rPr>
          <w:b/>
          <w:sz w:val="32"/>
          <w:szCs w:val="32"/>
        </w:rPr>
      </w:pPr>
    </w:p>
    <w:p w14:paraId="7604E9CC" w14:textId="0C223C4D" w:rsidR="007D7FCB" w:rsidRPr="005F579A" w:rsidRDefault="007D7FCB" w:rsidP="0069519B">
      <w:pPr>
        <w:jc w:val="both"/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n°8 : </w:t>
      </w:r>
      <w:r w:rsidR="0003586E">
        <w:rPr>
          <w:b/>
          <w:sz w:val="32"/>
          <w:szCs w:val="32"/>
        </w:rPr>
        <w:t>La LOLF a été révisée par la Loi organique du 12 juillet 2005 à la demande du Sénat</w:t>
      </w:r>
    </w:p>
    <w:p w14:paraId="358A3A89" w14:textId="2FB71CAE" w:rsidR="007D7FCB" w:rsidRPr="005F579A" w:rsidRDefault="007D7FCB" w:rsidP="0069519B">
      <w:pPr>
        <w:jc w:val="both"/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03586E">
        <w:rPr>
          <w:sz w:val="32"/>
          <w:szCs w:val="32"/>
        </w:rPr>
        <w:t xml:space="preserve"> pour créer la réserve de précaution au sein du Budget de l’État</w:t>
      </w:r>
    </w:p>
    <w:p w14:paraId="44B993BA" w14:textId="46E95AE4" w:rsidR="007D7FCB" w:rsidRDefault="00E572F0" w:rsidP="0069519B">
      <w:pPr>
        <w:jc w:val="both"/>
        <w:rPr>
          <w:sz w:val="32"/>
          <w:szCs w:val="32"/>
        </w:rPr>
      </w:pPr>
      <w:r>
        <w:rPr>
          <w:sz w:val="32"/>
          <w:szCs w:val="32"/>
        </w:rPr>
        <w:t>B</w:t>
      </w:r>
      <w:r w:rsidR="007D7FCB" w:rsidRPr="005F579A">
        <w:rPr>
          <w:sz w:val="32"/>
          <w:szCs w:val="32"/>
        </w:rPr>
        <w:t>/</w:t>
      </w:r>
      <w:r w:rsidR="0003586E">
        <w:rPr>
          <w:sz w:val="32"/>
          <w:szCs w:val="32"/>
        </w:rPr>
        <w:t xml:space="preserve"> pour créer la clause anti-cagnotte destinée à éviter les gaspillages en cas de surplus budgétaires</w:t>
      </w:r>
    </w:p>
    <w:p w14:paraId="29A42B6C" w14:textId="1EEF398B" w:rsidR="00E572F0" w:rsidRPr="005F579A" w:rsidRDefault="0003586E" w:rsidP="0069519B">
      <w:pPr>
        <w:jc w:val="both"/>
        <w:rPr>
          <w:sz w:val="32"/>
          <w:szCs w:val="32"/>
        </w:rPr>
      </w:pPr>
      <w:r>
        <w:rPr>
          <w:sz w:val="32"/>
          <w:szCs w:val="32"/>
        </w:rPr>
        <w:t>C/ pour instituer les décrets d’avance (article 13)</w:t>
      </w:r>
    </w:p>
    <w:p w14:paraId="1E651CAA" w14:textId="77777777" w:rsidR="007D7FCB" w:rsidRPr="005F579A" w:rsidRDefault="007D7FCB" w:rsidP="0069519B">
      <w:pPr>
        <w:jc w:val="both"/>
        <w:rPr>
          <w:sz w:val="32"/>
          <w:szCs w:val="32"/>
        </w:rPr>
      </w:pPr>
    </w:p>
    <w:p w14:paraId="4729CFA1" w14:textId="77777777" w:rsidR="007E528E" w:rsidRDefault="007E528E" w:rsidP="0069519B">
      <w:pPr>
        <w:jc w:val="both"/>
        <w:rPr>
          <w:b/>
          <w:sz w:val="32"/>
          <w:szCs w:val="32"/>
        </w:rPr>
      </w:pPr>
    </w:p>
    <w:p w14:paraId="28097449" w14:textId="46B6C4A6" w:rsidR="007D7FCB" w:rsidRPr="005F579A" w:rsidRDefault="007D7FCB" w:rsidP="0069519B">
      <w:pPr>
        <w:jc w:val="both"/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n°9 : </w:t>
      </w:r>
      <w:r w:rsidR="00CE0671">
        <w:rPr>
          <w:b/>
          <w:sz w:val="32"/>
          <w:szCs w:val="32"/>
        </w:rPr>
        <w:t>quel texte a institué la mesure et le suivi du solde structurel ?</w:t>
      </w:r>
    </w:p>
    <w:p w14:paraId="0DBED5C9" w14:textId="43517F32" w:rsidR="007D7FCB" w:rsidRPr="005F579A" w:rsidRDefault="007D7FCB" w:rsidP="0069519B">
      <w:pPr>
        <w:jc w:val="both"/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CE0671">
        <w:rPr>
          <w:sz w:val="32"/>
          <w:szCs w:val="32"/>
        </w:rPr>
        <w:t xml:space="preserve"> La LOLF</w:t>
      </w:r>
    </w:p>
    <w:p w14:paraId="6D1C3B83" w14:textId="3FD0098D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CE0671">
        <w:rPr>
          <w:sz w:val="32"/>
          <w:szCs w:val="32"/>
        </w:rPr>
        <w:t xml:space="preserve"> Le traité de Maastricht</w:t>
      </w:r>
    </w:p>
    <w:p w14:paraId="6F23F2F8" w14:textId="66BFD8D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CE0671">
        <w:rPr>
          <w:sz w:val="32"/>
          <w:szCs w:val="32"/>
        </w:rPr>
        <w:t xml:space="preserve"> Le TSCG</w:t>
      </w:r>
    </w:p>
    <w:p w14:paraId="512D00F7" w14:textId="77777777" w:rsidR="007D7FCB" w:rsidRDefault="007D7FCB" w:rsidP="007D7FCB">
      <w:pPr>
        <w:rPr>
          <w:sz w:val="32"/>
          <w:szCs w:val="32"/>
        </w:rPr>
      </w:pPr>
    </w:p>
    <w:p w14:paraId="2A0F2A1B" w14:textId="77777777" w:rsidR="007E528E" w:rsidRDefault="007E528E" w:rsidP="007D7FCB">
      <w:pPr>
        <w:rPr>
          <w:sz w:val="32"/>
          <w:szCs w:val="32"/>
        </w:rPr>
      </w:pPr>
    </w:p>
    <w:p w14:paraId="22CF26C0" w14:textId="77777777" w:rsidR="007E528E" w:rsidRPr="005F579A" w:rsidRDefault="007E528E" w:rsidP="007D7FCB">
      <w:pPr>
        <w:rPr>
          <w:sz w:val="32"/>
          <w:szCs w:val="32"/>
        </w:rPr>
      </w:pPr>
    </w:p>
    <w:p w14:paraId="468ADAB9" w14:textId="2719EDFE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n°10 : </w:t>
      </w:r>
      <w:r w:rsidR="00301DA2">
        <w:rPr>
          <w:b/>
          <w:sz w:val="32"/>
          <w:szCs w:val="32"/>
        </w:rPr>
        <w:t>La dimension d’antériorité du principe d’annualité a pour fondement juridique :</w:t>
      </w:r>
    </w:p>
    <w:p w14:paraId="57F5C0A0" w14:textId="0067EF04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301DA2">
        <w:rPr>
          <w:sz w:val="32"/>
          <w:szCs w:val="32"/>
        </w:rPr>
        <w:t xml:space="preserve"> l’article 6 de la LOLF</w:t>
      </w:r>
    </w:p>
    <w:p w14:paraId="09EB96AA" w14:textId="4822859D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301DA2">
        <w:rPr>
          <w:sz w:val="32"/>
          <w:szCs w:val="32"/>
        </w:rPr>
        <w:t xml:space="preserve"> l’article 34 de la Constitution</w:t>
      </w:r>
    </w:p>
    <w:p w14:paraId="2DFFB7BF" w14:textId="5A8FD0F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301DA2">
        <w:rPr>
          <w:sz w:val="32"/>
          <w:szCs w:val="32"/>
        </w:rPr>
        <w:t xml:space="preserve"> l’article 47 de la Constitution</w:t>
      </w:r>
    </w:p>
    <w:p w14:paraId="4638F8DF" w14:textId="77777777" w:rsidR="007D7FCB" w:rsidRPr="005F579A" w:rsidRDefault="007D7FCB" w:rsidP="007D7FCB">
      <w:pPr>
        <w:rPr>
          <w:sz w:val="32"/>
          <w:szCs w:val="32"/>
        </w:rPr>
      </w:pPr>
    </w:p>
    <w:p w14:paraId="2970EF6A" w14:textId="77777777" w:rsidR="007E528E" w:rsidRDefault="007E528E" w:rsidP="007D7FCB">
      <w:pPr>
        <w:rPr>
          <w:b/>
          <w:sz w:val="32"/>
          <w:szCs w:val="32"/>
        </w:rPr>
      </w:pPr>
    </w:p>
    <w:p w14:paraId="106FCD52" w14:textId="77777777" w:rsidR="00471D94" w:rsidRDefault="00471D94" w:rsidP="007D7FCB">
      <w:pPr>
        <w:rPr>
          <w:b/>
          <w:sz w:val="32"/>
          <w:szCs w:val="32"/>
        </w:rPr>
      </w:pPr>
    </w:p>
    <w:p w14:paraId="12B05EBA" w14:textId="0718EF7B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n°11 : </w:t>
      </w:r>
      <w:r w:rsidR="00301DA2">
        <w:rPr>
          <w:b/>
          <w:sz w:val="32"/>
          <w:szCs w:val="32"/>
        </w:rPr>
        <w:t>Cochez l’affirmation véridique</w:t>
      </w:r>
    </w:p>
    <w:p w14:paraId="132EC5A3" w14:textId="3ECA849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301DA2">
        <w:rPr>
          <w:sz w:val="32"/>
          <w:szCs w:val="32"/>
        </w:rPr>
        <w:t xml:space="preserve"> Le Royaume-Uni débute l’exercice budgétaire le 1</w:t>
      </w:r>
      <w:r w:rsidR="00301DA2" w:rsidRPr="00301DA2">
        <w:rPr>
          <w:sz w:val="32"/>
          <w:szCs w:val="32"/>
          <w:vertAlign w:val="superscript"/>
        </w:rPr>
        <w:t>er</w:t>
      </w:r>
      <w:r w:rsidR="00301DA2">
        <w:rPr>
          <w:sz w:val="32"/>
          <w:szCs w:val="32"/>
        </w:rPr>
        <w:t xml:space="preserve"> juillet</w:t>
      </w:r>
    </w:p>
    <w:p w14:paraId="0460BD4F" w14:textId="742FF1E9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301DA2">
        <w:rPr>
          <w:sz w:val="32"/>
          <w:szCs w:val="32"/>
        </w:rPr>
        <w:t xml:space="preserve"> l’Afrique du Sud débute l’exercice budgétaire le 1</w:t>
      </w:r>
      <w:r w:rsidR="00301DA2" w:rsidRPr="00301DA2">
        <w:rPr>
          <w:sz w:val="32"/>
          <w:szCs w:val="32"/>
          <w:vertAlign w:val="superscript"/>
        </w:rPr>
        <w:t>er</w:t>
      </w:r>
      <w:r w:rsidR="00301DA2">
        <w:rPr>
          <w:sz w:val="32"/>
          <w:szCs w:val="32"/>
        </w:rPr>
        <w:t xml:space="preserve"> avril</w:t>
      </w:r>
    </w:p>
    <w:p w14:paraId="0E4B30EE" w14:textId="5C7C05DE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301DA2">
        <w:rPr>
          <w:sz w:val="32"/>
          <w:szCs w:val="32"/>
        </w:rPr>
        <w:t xml:space="preserve"> Les Etats-Unis débutent l’exercice budgétaire le 1</w:t>
      </w:r>
      <w:r w:rsidR="00301DA2" w:rsidRPr="00301DA2">
        <w:rPr>
          <w:sz w:val="32"/>
          <w:szCs w:val="32"/>
          <w:vertAlign w:val="superscript"/>
        </w:rPr>
        <w:t>er</w:t>
      </w:r>
      <w:r w:rsidR="00301DA2">
        <w:rPr>
          <w:sz w:val="32"/>
          <w:szCs w:val="32"/>
        </w:rPr>
        <w:t xml:space="preserve"> janvier</w:t>
      </w:r>
    </w:p>
    <w:p w14:paraId="75A0DAE5" w14:textId="77777777" w:rsidR="007D7FCB" w:rsidRPr="005F579A" w:rsidRDefault="007D7FCB" w:rsidP="007D7FCB">
      <w:pPr>
        <w:rPr>
          <w:sz w:val="32"/>
          <w:szCs w:val="32"/>
        </w:rPr>
      </w:pPr>
    </w:p>
    <w:p w14:paraId="6C9D6C6E" w14:textId="77777777" w:rsidR="007E528E" w:rsidRDefault="007E528E" w:rsidP="007D7FCB">
      <w:pPr>
        <w:rPr>
          <w:b/>
          <w:sz w:val="32"/>
          <w:szCs w:val="32"/>
        </w:rPr>
      </w:pPr>
    </w:p>
    <w:p w14:paraId="2C247272" w14:textId="77777777" w:rsidR="00471D94" w:rsidRDefault="00471D94" w:rsidP="007D7FCB">
      <w:pPr>
        <w:rPr>
          <w:b/>
          <w:sz w:val="32"/>
          <w:szCs w:val="32"/>
        </w:rPr>
      </w:pPr>
    </w:p>
    <w:p w14:paraId="36FA8B7D" w14:textId="57886C7F" w:rsidR="007D7FCB" w:rsidRPr="005F579A" w:rsidRDefault="007D7FCB" w:rsidP="0069519B">
      <w:pPr>
        <w:jc w:val="both"/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n°12 : </w:t>
      </w:r>
      <w:r w:rsidR="00BD3D43">
        <w:rPr>
          <w:b/>
          <w:sz w:val="32"/>
          <w:szCs w:val="32"/>
        </w:rPr>
        <w:t>Le système de l’exercice est un système dans lequel</w:t>
      </w:r>
    </w:p>
    <w:p w14:paraId="44C5FD79" w14:textId="07298A85" w:rsidR="007D7FCB" w:rsidRPr="005F579A" w:rsidRDefault="007D7FCB" w:rsidP="0069519B">
      <w:pPr>
        <w:jc w:val="both"/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D3D43">
        <w:rPr>
          <w:sz w:val="32"/>
          <w:szCs w:val="32"/>
        </w:rPr>
        <w:t xml:space="preserve"> on rattache les opérations de recettes et de dépenses en fonction de la date de l’opération de caisse</w:t>
      </w:r>
      <w:r w:rsidR="00591BC0">
        <w:rPr>
          <w:sz w:val="32"/>
          <w:szCs w:val="32"/>
        </w:rPr>
        <w:t xml:space="preserve"> (encaissement/décaissement)</w:t>
      </w:r>
    </w:p>
    <w:p w14:paraId="7A99D43C" w14:textId="5FB3D6F9" w:rsidR="007D7FCB" w:rsidRPr="005F579A" w:rsidRDefault="007D7FCB" w:rsidP="0069519B">
      <w:pPr>
        <w:jc w:val="both"/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D3D43">
        <w:rPr>
          <w:sz w:val="32"/>
          <w:szCs w:val="32"/>
        </w:rPr>
        <w:t xml:space="preserve"> on rattache les opérations de recettes et de dépenses en fonction de la date de naissance de l’obligation</w:t>
      </w:r>
      <w:r w:rsidR="00591BC0">
        <w:rPr>
          <w:sz w:val="32"/>
          <w:szCs w:val="32"/>
        </w:rPr>
        <w:t xml:space="preserve"> (droits acquis/services faits)</w:t>
      </w:r>
    </w:p>
    <w:p w14:paraId="7A6FF45C" w14:textId="7C411A6F" w:rsidR="007D7FCB" w:rsidRPr="005F579A" w:rsidRDefault="007D7FCB" w:rsidP="0069519B">
      <w:pPr>
        <w:jc w:val="both"/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BD3D43">
        <w:rPr>
          <w:sz w:val="32"/>
          <w:szCs w:val="32"/>
        </w:rPr>
        <w:t xml:space="preserve"> on rattache les opérations de recettes et de dépenses en fonction d’un critère purement formel</w:t>
      </w:r>
      <w:r w:rsidR="00B442FD">
        <w:rPr>
          <w:sz w:val="32"/>
          <w:szCs w:val="32"/>
        </w:rPr>
        <w:t xml:space="preserve"> (dépense enregistrée/recette enregistrée)</w:t>
      </w:r>
    </w:p>
    <w:p w14:paraId="33FE6349" w14:textId="77777777" w:rsidR="007D7FCB" w:rsidRPr="005F579A" w:rsidRDefault="007D7FCB" w:rsidP="007D7FCB">
      <w:pPr>
        <w:rPr>
          <w:sz w:val="32"/>
          <w:szCs w:val="32"/>
        </w:rPr>
      </w:pPr>
    </w:p>
    <w:p w14:paraId="6E559744" w14:textId="77777777" w:rsidR="007E528E" w:rsidRDefault="007E528E" w:rsidP="007D7FCB">
      <w:pPr>
        <w:rPr>
          <w:b/>
          <w:sz w:val="32"/>
          <w:szCs w:val="32"/>
        </w:rPr>
      </w:pPr>
    </w:p>
    <w:p w14:paraId="64990DB4" w14:textId="77777777" w:rsidR="007E528E" w:rsidRDefault="007E528E" w:rsidP="007D7FCB">
      <w:pPr>
        <w:rPr>
          <w:b/>
          <w:sz w:val="32"/>
          <w:szCs w:val="32"/>
        </w:rPr>
      </w:pPr>
    </w:p>
    <w:p w14:paraId="4133B6B8" w14:textId="5919A947" w:rsidR="007D7FCB" w:rsidRPr="005F579A" w:rsidRDefault="007D7FCB" w:rsidP="0069519B">
      <w:pPr>
        <w:jc w:val="both"/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n°13 : </w:t>
      </w:r>
      <w:r w:rsidR="00471D94">
        <w:rPr>
          <w:b/>
          <w:sz w:val="32"/>
          <w:szCs w:val="32"/>
        </w:rPr>
        <w:t xml:space="preserve">Lors du vote des dépenses du budget de l’État, les parlementaires </w:t>
      </w:r>
    </w:p>
    <w:p w14:paraId="77F58A74" w14:textId="7161E1C4" w:rsidR="007D7FCB" w:rsidRPr="005F579A" w:rsidRDefault="007D7FCB" w:rsidP="0069519B">
      <w:pPr>
        <w:jc w:val="both"/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471D94">
        <w:rPr>
          <w:sz w:val="32"/>
          <w:szCs w:val="32"/>
        </w:rPr>
        <w:t xml:space="preserve"> Ne peuvent que voter les crédits par mission sans rien changer sauf à réduire le niveau des dépenses</w:t>
      </w:r>
    </w:p>
    <w:p w14:paraId="65BF65AD" w14:textId="68A3555B" w:rsidR="007D7FCB" w:rsidRPr="005F579A" w:rsidRDefault="007E528E" w:rsidP="0069519B">
      <w:pPr>
        <w:jc w:val="both"/>
        <w:rPr>
          <w:sz w:val="32"/>
          <w:szCs w:val="32"/>
        </w:rPr>
      </w:pPr>
      <w:r>
        <w:rPr>
          <w:sz w:val="32"/>
          <w:szCs w:val="32"/>
        </w:rPr>
        <w:t>B</w:t>
      </w:r>
      <w:r w:rsidR="007D7FCB" w:rsidRPr="005F579A">
        <w:rPr>
          <w:sz w:val="32"/>
          <w:szCs w:val="32"/>
        </w:rPr>
        <w:t>/</w:t>
      </w:r>
      <w:r w:rsidR="00471D94">
        <w:rPr>
          <w:sz w:val="32"/>
          <w:szCs w:val="32"/>
        </w:rPr>
        <w:t xml:space="preserve"> Ne peuvent que voter les crédits par mission sans rien changer</w:t>
      </w:r>
    </w:p>
    <w:p w14:paraId="23C43967" w14:textId="479DEBE7" w:rsidR="007E528E" w:rsidRPr="005F579A" w:rsidRDefault="007E528E" w:rsidP="0069519B">
      <w:pPr>
        <w:jc w:val="both"/>
        <w:rPr>
          <w:sz w:val="32"/>
          <w:szCs w:val="32"/>
        </w:rPr>
      </w:pPr>
      <w:r>
        <w:rPr>
          <w:sz w:val="32"/>
          <w:szCs w:val="32"/>
        </w:rPr>
        <w:t>C</w:t>
      </w:r>
      <w:r w:rsidRPr="005F579A">
        <w:rPr>
          <w:sz w:val="32"/>
          <w:szCs w:val="32"/>
        </w:rPr>
        <w:t>/</w:t>
      </w:r>
      <w:r w:rsidR="00471D94">
        <w:rPr>
          <w:sz w:val="32"/>
          <w:szCs w:val="32"/>
        </w:rPr>
        <w:t xml:space="preserve"> Doivent voter les crédits par mission sans rien changer sauf à réduire le niveau des dépenses ou à moduler les crédits d’un programme à un autre sans relever le plafond total des crédits de la mission</w:t>
      </w:r>
    </w:p>
    <w:p w14:paraId="7AAC9847" w14:textId="77777777" w:rsidR="007D7FCB" w:rsidRPr="005F579A" w:rsidRDefault="007D7FCB" w:rsidP="007D7FCB">
      <w:pPr>
        <w:rPr>
          <w:sz w:val="32"/>
          <w:szCs w:val="32"/>
        </w:rPr>
      </w:pPr>
    </w:p>
    <w:p w14:paraId="5EAF91EC" w14:textId="77777777" w:rsidR="007E528E" w:rsidRDefault="007E528E" w:rsidP="007D7FCB">
      <w:pPr>
        <w:rPr>
          <w:b/>
          <w:sz w:val="32"/>
          <w:szCs w:val="32"/>
        </w:rPr>
      </w:pPr>
    </w:p>
    <w:p w14:paraId="107DFB48" w14:textId="77777777" w:rsidR="007E528E" w:rsidRDefault="007E528E" w:rsidP="007D7FCB">
      <w:pPr>
        <w:rPr>
          <w:b/>
          <w:sz w:val="32"/>
          <w:szCs w:val="32"/>
        </w:rPr>
      </w:pPr>
    </w:p>
    <w:p w14:paraId="05D11E10" w14:textId="77777777" w:rsidR="00223BCF" w:rsidRDefault="00223BCF" w:rsidP="007D7FCB">
      <w:pPr>
        <w:rPr>
          <w:b/>
          <w:sz w:val="32"/>
          <w:szCs w:val="32"/>
        </w:rPr>
      </w:pPr>
    </w:p>
    <w:p w14:paraId="427B0B80" w14:textId="77777777" w:rsidR="00223BCF" w:rsidRDefault="00223BCF" w:rsidP="007D7FCB">
      <w:pPr>
        <w:rPr>
          <w:b/>
          <w:sz w:val="32"/>
          <w:szCs w:val="32"/>
        </w:rPr>
      </w:pPr>
    </w:p>
    <w:p w14:paraId="4A5AD45A" w14:textId="60A6C974" w:rsidR="007D7FCB" w:rsidRPr="005F579A" w:rsidRDefault="007D7FCB" w:rsidP="0069519B">
      <w:pPr>
        <w:jc w:val="both"/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n°14 : </w:t>
      </w:r>
      <w:r w:rsidR="00B442FD">
        <w:rPr>
          <w:b/>
          <w:sz w:val="32"/>
          <w:szCs w:val="32"/>
        </w:rPr>
        <w:t xml:space="preserve">Selon l’article </w:t>
      </w:r>
      <w:r w:rsidR="0069519B">
        <w:rPr>
          <w:b/>
          <w:sz w:val="32"/>
          <w:szCs w:val="32"/>
        </w:rPr>
        <w:t>37-IV-2° de la LOLF, l</w:t>
      </w:r>
      <w:r w:rsidR="00BD3D43">
        <w:rPr>
          <w:b/>
          <w:sz w:val="32"/>
          <w:szCs w:val="32"/>
        </w:rPr>
        <w:t xml:space="preserve">a Loi de Règlement </w:t>
      </w:r>
    </w:p>
    <w:p w14:paraId="19916494" w14:textId="3C5D8C73" w:rsidR="007D7FCB" w:rsidRPr="005F579A" w:rsidRDefault="007D7FCB" w:rsidP="0069519B">
      <w:pPr>
        <w:jc w:val="both"/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BD3D43">
        <w:rPr>
          <w:sz w:val="32"/>
          <w:szCs w:val="32"/>
        </w:rPr>
        <w:t xml:space="preserve"> ne peut pas accorder d’autorisations car elle se contente de constater les résultats des recettes encaissées et des dépenses payées</w:t>
      </w:r>
    </w:p>
    <w:p w14:paraId="79CC3A1C" w14:textId="3EBE1AD2" w:rsidR="007D7FCB" w:rsidRPr="005F579A" w:rsidRDefault="007D7FCB" w:rsidP="0069519B">
      <w:pPr>
        <w:jc w:val="both"/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BD3D43">
        <w:rPr>
          <w:sz w:val="32"/>
          <w:szCs w:val="32"/>
        </w:rPr>
        <w:t xml:space="preserve"> peut accorder des autorisations rétroactives </w:t>
      </w:r>
      <w:r w:rsidR="007D24A2">
        <w:rPr>
          <w:sz w:val="32"/>
          <w:szCs w:val="32"/>
        </w:rPr>
        <w:t>en cas de dépenses dépassant les autorisations (uniquement en cas de force majeure)</w:t>
      </w:r>
    </w:p>
    <w:p w14:paraId="2ADE34CA" w14:textId="41F06777" w:rsidR="007D7FCB" w:rsidRPr="005F579A" w:rsidRDefault="007D7FCB" w:rsidP="0069519B">
      <w:pPr>
        <w:jc w:val="both"/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7D24A2">
        <w:rPr>
          <w:sz w:val="32"/>
          <w:szCs w:val="32"/>
        </w:rPr>
        <w:t xml:space="preserve"> peut accorder des autorisations rétroactives en cas de dépenses dépassant les autorisations</w:t>
      </w:r>
    </w:p>
    <w:p w14:paraId="299C0386" w14:textId="77777777" w:rsidR="007D7FCB" w:rsidRPr="005F579A" w:rsidRDefault="007D7FCB" w:rsidP="007D7FCB">
      <w:pPr>
        <w:rPr>
          <w:sz w:val="32"/>
          <w:szCs w:val="32"/>
        </w:rPr>
      </w:pPr>
    </w:p>
    <w:p w14:paraId="613FF2DC" w14:textId="77777777" w:rsidR="007D7FCB" w:rsidRDefault="007D7FCB">
      <w:pPr>
        <w:rPr>
          <w:sz w:val="32"/>
          <w:szCs w:val="32"/>
        </w:rPr>
      </w:pPr>
    </w:p>
    <w:p w14:paraId="24201E23" w14:textId="77777777" w:rsidR="00223BCF" w:rsidRPr="005F579A" w:rsidRDefault="00223BCF">
      <w:pPr>
        <w:rPr>
          <w:sz w:val="32"/>
          <w:szCs w:val="32"/>
        </w:rPr>
      </w:pPr>
    </w:p>
    <w:p w14:paraId="4C1DA5E3" w14:textId="77777777" w:rsidR="007E528E" w:rsidRDefault="007E528E" w:rsidP="007D7FCB">
      <w:pPr>
        <w:rPr>
          <w:b/>
          <w:sz w:val="32"/>
          <w:szCs w:val="32"/>
        </w:rPr>
      </w:pPr>
    </w:p>
    <w:p w14:paraId="6D54D130" w14:textId="73BBB58C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n°15 : </w:t>
      </w:r>
      <w:r w:rsidR="007D24A2">
        <w:rPr>
          <w:b/>
          <w:sz w:val="32"/>
          <w:szCs w:val="32"/>
        </w:rPr>
        <w:t>La procédure des douzièmes provisoires des IIIème et IVème Républiques</w:t>
      </w:r>
    </w:p>
    <w:p w14:paraId="69EA1486" w14:textId="11BB90EE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7D24A2">
        <w:rPr>
          <w:sz w:val="32"/>
          <w:szCs w:val="32"/>
        </w:rPr>
        <w:t xml:space="preserve"> S’applique sous la Vème République en raison de l’article 47 C</w:t>
      </w:r>
    </w:p>
    <w:p w14:paraId="54223CB5" w14:textId="767568E1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7D24A2">
        <w:rPr>
          <w:sz w:val="32"/>
          <w:szCs w:val="32"/>
        </w:rPr>
        <w:t xml:space="preserve"> Est interdite par l’article 47 de la Constitution</w:t>
      </w:r>
    </w:p>
    <w:p w14:paraId="407FD866" w14:textId="3FBFE442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7D24A2">
        <w:rPr>
          <w:sz w:val="32"/>
          <w:szCs w:val="32"/>
        </w:rPr>
        <w:t xml:space="preserve"> S’applique sous la Vème République en raison de l’art. 45 LOLF</w:t>
      </w:r>
    </w:p>
    <w:p w14:paraId="2871E02A" w14:textId="77777777" w:rsidR="007E528E" w:rsidRDefault="007E528E" w:rsidP="007D7FCB">
      <w:pPr>
        <w:rPr>
          <w:b/>
          <w:sz w:val="32"/>
          <w:szCs w:val="32"/>
        </w:rPr>
      </w:pPr>
    </w:p>
    <w:p w14:paraId="33B177E9" w14:textId="77777777" w:rsidR="007E528E" w:rsidRDefault="007E528E" w:rsidP="007D7FCB">
      <w:pPr>
        <w:rPr>
          <w:b/>
          <w:sz w:val="32"/>
          <w:szCs w:val="32"/>
        </w:rPr>
      </w:pPr>
    </w:p>
    <w:p w14:paraId="1A1EA156" w14:textId="77777777" w:rsidR="00223BCF" w:rsidRDefault="00223BCF" w:rsidP="007D7FCB">
      <w:pPr>
        <w:rPr>
          <w:b/>
          <w:sz w:val="32"/>
          <w:szCs w:val="32"/>
        </w:rPr>
      </w:pPr>
    </w:p>
    <w:p w14:paraId="0575167A" w14:textId="77777777" w:rsidR="00223BCF" w:rsidRDefault="00223BCF" w:rsidP="007D7FCB">
      <w:pPr>
        <w:rPr>
          <w:b/>
          <w:sz w:val="32"/>
          <w:szCs w:val="32"/>
        </w:rPr>
      </w:pPr>
    </w:p>
    <w:p w14:paraId="5279BBC6" w14:textId="01C56C31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n°16 : </w:t>
      </w:r>
      <w:r w:rsidR="0047355B">
        <w:rPr>
          <w:b/>
          <w:sz w:val="32"/>
          <w:szCs w:val="32"/>
        </w:rPr>
        <w:t>Une autorisation d’engagement est une autorisation budgétaire prévue à l’article 8 de la LOLF</w:t>
      </w:r>
    </w:p>
    <w:p w14:paraId="23257A77" w14:textId="43EEC1B8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47355B">
        <w:rPr>
          <w:sz w:val="32"/>
          <w:szCs w:val="32"/>
        </w:rPr>
        <w:t xml:space="preserve"> Cette autorisation est annuelle mais peut être reportée</w:t>
      </w:r>
    </w:p>
    <w:p w14:paraId="6FD7F168" w14:textId="739FA267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47355B">
        <w:rPr>
          <w:sz w:val="32"/>
          <w:szCs w:val="32"/>
        </w:rPr>
        <w:t xml:space="preserve"> Cette autorisation est valable plusieurs années sans limitation</w:t>
      </w:r>
    </w:p>
    <w:p w14:paraId="4A551C3D" w14:textId="73F9B574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47355B">
        <w:rPr>
          <w:sz w:val="32"/>
          <w:szCs w:val="32"/>
        </w:rPr>
        <w:t xml:space="preserve"> Cette autorisation est annuelle et ne peut pas être reportée</w:t>
      </w:r>
    </w:p>
    <w:p w14:paraId="3E293AEF" w14:textId="77777777" w:rsidR="007D7FCB" w:rsidRDefault="007D7FCB">
      <w:pPr>
        <w:rPr>
          <w:sz w:val="32"/>
          <w:szCs w:val="32"/>
        </w:rPr>
      </w:pPr>
    </w:p>
    <w:p w14:paraId="77EC0C27" w14:textId="77777777" w:rsidR="00223BCF" w:rsidRDefault="00223BCF">
      <w:pPr>
        <w:rPr>
          <w:sz w:val="32"/>
          <w:szCs w:val="32"/>
        </w:rPr>
      </w:pPr>
    </w:p>
    <w:p w14:paraId="359B1919" w14:textId="77777777" w:rsidR="00223BCF" w:rsidRDefault="00223BCF">
      <w:pPr>
        <w:rPr>
          <w:sz w:val="32"/>
          <w:szCs w:val="32"/>
        </w:rPr>
      </w:pPr>
    </w:p>
    <w:p w14:paraId="45CF94BB" w14:textId="77777777" w:rsidR="007E528E" w:rsidRPr="005F579A" w:rsidRDefault="007E528E">
      <w:pPr>
        <w:rPr>
          <w:sz w:val="32"/>
          <w:szCs w:val="32"/>
        </w:rPr>
      </w:pPr>
    </w:p>
    <w:p w14:paraId="4EC6B672" w14:textId="085F31E9" w:rsidR="007D7FCB" w:rsidRPr="005F579A" w:rsidRDefault="007D7FCB" w:rsidP="007D7FCB">
      <w:pPr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n°17 : </w:t>
      </w:r>
      <w:r w:rsidR="00223BCF">
        <w:rPr>
          <w:b/>
          <w:sz w:val="32"/>
          <w:szCs w:val="32"/>
        </w:rPr>
        <w:t xml:space="preserve">La règle du chapitre budgétaire est une règle ancienne qui date de </w:t>
      </w:r>
    </w:p>
    <w:p w14:paraId="3852022A" w14:textId="6E992B3B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A/</w:t>
      </w:r>
      <w:r w:rsidR="0069519B">
        <w:rPr>
          <w:sz w:val="32"/>
          <w:szCs w:val="32"/>
        </w:rPr>
        <w:t xml:space="preserve"> 18</w:t>
      </w:r>
      <w:r w:rsidR="00223BCF">
        <w:rPr>
          <w:sz w:val="32"/>
          <w:szCs w:val="32"/>
        </w:rPr>
        <w:t>17</w:t>
      </w:r>
    </w:p>
    <w:p w14:paraId="3D29DB6D" w14:textId="3C6E74A5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B/</w:t>
      </w:r>
      <w:r w:rsidR="00223BCF">
        <w:rPr>
          <w:sz w:val="32"/>
          <w:szCs w:val="32"/>
        </w:rPr>
        <w:t xml:space="preserve"> 1827</w:t>
      </w:r>
    </w:p>
    <w:p w14:paraId="09D3BA18" w14:textId="16819F83" w:rsidR="007D7FCB" w:rsidRPr="005F579A" w:rsidRDefault="007D7FCB" w:rsidP="007D7FCB">
      <w:pPr>
        <w:rPr>
          <w:sz w:val="32"/>
          <w:szCs w:val="32"/>
        </w:rPr>
      </w:pPr>
      <w:r w:rsidRPr="005F579A">
        <w:rPr>
          <w:sz w:val="32"/>
          <w:szCs w:val="32"/>
        </w:rPr>
        <w:t>C/</w:t>
      </w:r>
      <w:r w:rsidR="00223BCF">
        <w:rPr>
          <w:sz w:val="32"/>
          <w:szCs w:val="32"/>
        </w:rPr>
        <w:t xml:space="preserve"> 1831</w:t>
      </w:r>
    </w:p>
    <w:p w14:paraId="1A96E7DD" w14:textId="77777777" w:rsidR="007D7FCB" w:rsidRDefault="007D7FCB" w:rsidP="007D7FCB">
      <w:pPr>
        <w:rPr>
          <w:sz w:val="32"/>
          <w:szCs w:val="32"/>
        </w:rPr>
      </w:pPr>
    </w:p>
    <w:p w14:paraId="47899636" w14:textId="77777777" w:rsidR="007E528E" w:rsidRDefault="007E528E" w:rsidP="007D7FCB">
      <w:pPr>
        <w:rPr>
          <w:sz w:val="32"/>
          <w:szCs w:val="32"/>
        </w:rPr>
      </w:pPr>
    </w:p>
    <w:p w14:paraId="04546C03" w14:textId="77777777" w:rsidR="007E528E" w:rsidRPr="005F579A" w:rsidRDefault="007E528E" w:rsidP="007D7FCB">
      <w:pPr>
        <w:rPr>
          <w:sz w:val="32"/>
          <w:szCs w:val="32"/>
        </w:rPr>
      </w:pPr>
    </w:p>
    <w:p w14:paraId="7BE10572" w14:textId="77777777" w:rsidR="007D7FCB" w:rsidRDefault="007D7FCB">
      <w:pPr>
        <w:rPr>
          <w:sz w:val="32"/>
          <w:szCs w:val="32"/>
        </w:rPr>
      </w:pPr>
    </w:p>
    <w:p w14:paraId="3E3F8BD6" w14:textId="32C86035" w:rsidR="00AA2A97" w:rsidRPr="005F579A" w:rsidRDefault="00AA2A97" w:rsidP="0069519B">
      <w:pPr>
        <w:jc w:val="both"/>
        <w:rPr>
          <w:b/>
          <w:sz w:val="32"/>
          <w:szCs w:val="32"/>
        </w:rPr>
      </w:pPr>
      <w:r w:rsidRPr="005F579A">
        <w:rPr>
          <w:b/>
          <w:sz w:val="32"/>
          <w:szCs w:val="32"/>
        </w:rPr>
        <w:t xml:space="preserve">Question n°18 : </w:t>
      </w:r>
      <w:r w:rsidR="0047355B">
        <w:rPr>
          <w:b/>
          <w:sz w:val="32"/>
          <w:szCs w:val="32"/>
        </w:rPr>
        <w:t xml:space="preserve">Un crédit de paiement </w:t>
      </w:r>
      <w:r w:rsidR="00223BCF">
        <w:rPr>
          <w:b/>
          <w:sz w:val="32"/>
          <w:szCs w:val="32"/>
        </w:rPr>
        <w:t xml:space="preserve">(art. 8 LOLF) </w:t>
      </w:r>
      <w:r w:rsidR="0047355B">
        <w:rPr>
          <w:b/>
          <w:sz w:val="32"/>
          <w:szCs w:val="32"/>
        </w:rPr>
        <w:t>est la limite supérieure des dépenses pouvant être payée au cours de l’année afin de consommer les AE. Les crédits de paiement</w:t>
      </w:r>
    </w:p>
    <w:p w14:paraId="5CD50EE6" w14:textId="602E561A" w:rsidR="00214897" w:rsidRPr="00AA2A97" w:rsidRDefault="00214897" w:rsidP="00E14885">
      <w:pPr>
        <w:jc w:val="both"/>
        <w:rPr>
          <w:sz w:val="32"/>
          <w:szCs w:val="32"/>
        </w:rPr>
      </w:pPr>
      <w:r>
        <w:rPr>
          <w:sz w:val="32"/>
          <w:szCs w:val="32"/>
        </w:rPr>
        <w:t>A/ Doivent être consommés dans l’exercice mais peuvent être reportés par arrêté interministériel publié au JO avant le 31/03 à condition de ne pas dépasser la limite de 3%</w:t>
      </w:r>
      <w:r w:rsidR="00E14885">
        <w:rPr>
          <w:sz w:val="32"/>
          <w:szCs w:val="32"/>
        </w:rPr>
        <w:t xml:space="preserve"> du programme de départ</w:t>
      </w:r>
    </w:p>
    <w:p w14:paraId="24B41DF9" w14:textId="6CAA145C" w:rsidR="00AA2A97" w:rsidRPr="00AA2A97" w:rsidRDefault="0047355B" w:rsidP="00E14885">
      <w:pPr>
        <w:jc w:val="both"/>
        <w:rPr>
          <w:sz w:val="32"/>
          <w:szCs w:val="32"/>
        </w:rPr>
      </w:pPr>
      <w:r>
        <w:rPr>
          <w:sz w:val="32"/>
          <w:szCs w:val="32"/>
        </w:rPr>
        <w:t>B/ Doivent être consommés dans l’exercice mais peuvent être reportés par arrêté interministériel publié au JO avant le 31/03</w:t>
      </w:r>
      <w:r w:rsidR="00E14885">
        <w:rPr>
          <w:sz w:val="32"/>
          <w:szCs w:val="32"/>
        </w:rPr>
        <w:t xml:space="preserve"> à condition de ne pas dépasser la limite de 3% du programme de destination</w:t>
      </w:r>
    </w:p>
    <w:p w14:paraId="2CEEAC8E" w14:textId="66C241F8" w:rsidR="00AA2A97" w:rsidRPr="00AA2A97" w:rsidRDefault="0047355B" w:rsidP="00AA2A97">
      <w:pPr>
        <w:rPr>
          <w:sz w:val="32"/>
          <w:szCs w:val="32"/>
        </w:rPr>
      </w:pPr>
      <w:r>
        <w:rPr>
          <w:sz w:val="32"/>
          <w:szCs w:val="32"/>
        </w:rPr>
        <w:t>C/ Doivent impérativement être consommés dans l’exercice</w:t>
      </w:r>
    </w:p>
    <w:p w14:paraId="5B5E87EB" w14:textId="77777777" w:rsidR="00AA2A97" w:rsidRPr="00AA2A97" w:rsidRDefault="00AA2A97" w:rsidP="00AA2A97">
      <w:pPr>
        <w:rPr>
          <w:sz w:val="32"/>
          <w:szCs w:val="32"/>
        </w:rPr>
      </w:pPr>
    </w:p>
    <w:p w14:paraId="54913563" w14:textId="77777777" w:rsidR="00AA2A97" w:rsidRPr="00AA2A97" w:rsidRDefault="00AA2A97" w:rsidP="00AA2A97">
      <w:pPr>
        <w:rPr>
          <w:sz w:val="32"/>
          <w:szCs w:val="32"/>
        </w:rPr>
      </w:pPr>
    </w:p>
    <w:p w14:paraId="61B9E9D5" w14:textId="77777777" w:rsidR="00AA2A97" w:rsidRPr="00AA2A97" w:rsidRDefault="00AA2A97" w:rsidP="00AA2A97">
      <w:pPr>
        <w:rPr>
          <w:sz w:val="32"/>
          <w:szCs w:val="32"/>
        </w:rPr>
      </w:pPr>
    </w:p>
    <w:p w14:paraId="344C8C89" w14:textId="77777777" w:rsidR="00AA2A97" w:rsidRPr="00AA2A97" w:rsidRDefault="00AA2A97" w:rsidP="00AA2A97">
      <w:pPr>
        <w:rPr>
          <w:b/>
          <w:sz w:val="32"/>
          <w:szCs w:val="32"/>
        </w:rPr>
      </w:pPr>
      <w:r w:rsidRPr="00AA2A97">
        <w:rPr>
          <w:b/>
          <w:sz w:val="32"/>
          <w:szCs w:val="32"/>
        </w:rPr>
        <w:t xml:space="preserve">Question n°19 : Le budget triennal de l’État est fixé </w:t>
      </w:r>
    </w:p>
    <w:p w14:paraId="77B83CC8" w14:textId="77777777" w:rsidR="00AA2A97" w:rsidRPr="00AA2A97" w:rsidRDefault="00AA2A97" w:rsidP="00AA2A97">
      <w:pPr>
        <w:rPr>
          <w:sz w:val="32"/>
          <w:szCs w:val="32"/>
        </w:rPr>
      </w:pPr>
      <w:r w:rsidRPr="00AA2A97">
        <w:rPr>
          <w:sz w:val="32"/>
          <w:szCs w:val="32"/>
        </w:rPr>
        <w:t>A/ Dans la Loi de programmation des Finances publiques</w:t>
      </w:r>
    </w:p>
    <w:p w14:paraId="7200BCC3" w14:textId="77777777" w:rsidR="00AA2A97" w:rsidRPr="00AA2A97" w:rsidRDefault="00AA2A97" w:rsidP="00AA2A97">
      <w:pPr>
        <w:rPr>
          <w:sz w:val="32"/>
          <w:szCs w:val="32"/>
        </w:rPr>
      </w:pPr>
      <w:r w:rsidRPr="00AA2A97">
        <w:rPr>
          <w:sz w:val="32"/>
          <w:szCs w:val="32"/>
        </w:rPr>
        <w:t>B/ Dans la LOLF</w:t>
      </w:r>
    </w:p>
    <w:p w14:paraId="21568BA3" w14:textId="77777777" w:rsidR="00AA2A97" w:rsidRPr="00AA2A97" w:rsidRDefault="00AA2A97" w:rsidP="00AA2A97">
      <w:pPr>
        <w:rPr>
          <w:sz w:val="32"/>
          <w:szCs w:val="32"/>
        </w:rPr>
      </w:pPr>
      <w:r w:rsidRPr="00AA2A97">
        <w:rPr>
          <w:sz w:val="32"/>
          <w:szCs w:val="32"/>
        </w:rPr>
        <w:t>C/ Dans le programme de stabilité</w:t>
      </w:r>
    </w:p>
    <w:p w14:paraId="1037BD5E" w14:textId="77777777" w:rsidR="00AA2A97" w:rsidRPr="00AA2A97" w:rsidRDefault="00AA2A97" w:rsidP="00AA2A97">
      <w:pPr>
        <w:rPr>
          <w:sz w:val="32"/>
          <w:szCs w:val="32"/>
        </w:rPr>
      </w:pPr>
    </w:p>
    <w:p w14:paraId="456867C2" w14:textId="77777777" w:rsidR="00AA2A97" w:rsidRPr="00AA2A97" w:rsidRDefault="00AA2A97" w:rsidP="00AA2A97">
      <w:pPr>
        <w:rPr>
          <w:sz w:val="32"/>
          <w:szCs w:val="32"/>
        </w:rPr>
      </w:pPr>
    </w:p>
    <w:p w14:paraId="5161688C" w14:textId="77777777" w:rsidR="00AA2A97" w:rsidRPr="00AA2A97" w:rsidRDefault="00AA2A97" w:rsidP="00AA2A97">
      <w:pPr>
        <w:rPr>
          <w:sz w:val="32"/>
          <w:szCs w:val="32"/>
        </w:rPr>
      </w:pPr>
    </w:p>
    <w:p w14:paraId="20F4B25B" w14:textId="77777777" w:rsidR="00AA2A97" w:rsidRPr="00AA2A97" w:rsidRDefault="00AA2A97" w:rsidP="00AA2A97">
      <w:pPr>
        <w:rPr>
          <w:b/>
          <w:sz w:val="32"/>
          <w:szCs w:val="32"/>
        </w:rPr>
      </w:pPr>
      <w:r w:rsidRPr="00AA2A97">
        <w:rPr>
          <w:b/>
          <w:sz w:val="32"/>
          <w:szCs w:val="32"/>
        </w:rPr>
        <w:t xml:space="preserve">Question n°20 : A la fin de l’année 2020, le déficit du budget de l’État devrait dépasser </w:t>
      </w:r>
    </w:p>
    <w:p w14:paraId="666B0B52" w14:textId="272670D0" w:rsidR="00AA2A97" w:rsidRPr="00AA2A97" w:rsidRDefault="00AA2A97" w:rsidP="00AA2A97">
      <w:pPr>
        <w:rPr>
          <w:sz w:val="32"/>
          <w:szCs w:val="32"/>
        </w:rPr>
      </w:pPr>
      <w:r w:rsidRPr="00AA2A97">
        <w:rPr>
          <w:sz w:val="32"/>
          <w:szCs w:val="32"/>
        </w:rPr>
        <w:t>A/</w:t>
      </w:r>
      <w:r w:rsidR="00BA5FA4">
        <w:rPr>
          <w:sz w:val="32"/>
          <w:szCs w:val="32"/>
        </w:rPr>
        <w:t xml:space="preserve"> 30</w:t>
      </w:r>
      <w:r w:rsidRPr="00AA2A97">
        <w:rPr>
          <w:sz w:val="32"/>
          <w:szCs w:val="32"/>
        </w:rPr>
        <w:t>0 Mds d’euros</w:t>
      </w:r>
    </w:p>
    <w:p w14:paraId="339E46D2" w14:textId="77777777" w:rsidR="00AA2A97" w:rsidRPr="00AA2A97" w:rsidRDefault="00AA2A97" w:rsidP="00AA2A97">
      <w:pPr>
        <w:rPr>
          <w:sz w:val="32"/>
          <w:szCs w:val="32"/>
        </w:rPr>
      </w:pPr>
      <w:r w:rsidRPr="00AA2A97">
        <w:rPr>
          <w:sz w:val="32"/>
          <w:szCs w:val="32"/>
        </w:rPr>
        <w:t>B/ 200 Mds d’euros</w:t>
      </w:r>
    </w:p>
    <w:p w14:paraId="5A0FADB2" w14:textId="77777777" w:rsidR="00AA2A97" w:rsidRPr="00AA2A97" w:rsidRDefault="00AA2A97" w:rsidP="00AA2A97">
      <w:pPr>
        <w:rPr>
          <w:sz w:val="32"/>
          <w:szCs w:val="32"/>
        </w:rPr>
      </w:pPr>
      <w:r w:rsidRPr="00AA2A97">
        <w:rPr>
          <w:sz w:val="32"/>
          <w:szCs w:val="32"/>
        </w:rPr>
        <w:t>C/ 100 Mds d’euros</w:t>
      </w:r>
    </w:p>
    <w:p w14:paraId="2687637A" w14:textId="77777777" w:rsidR="00AA2A97" w:rsidRPr="00AA2A97" w:rsidRDefault="00AA2A97" w:rsidP="00AA2A97">
      <w:pPr>
        <w:rPr>
          <w:sz w:val="32"/>
          <w:szCs w:val="32"/>
        </w:rPr>
      </w:pPr>
    </w:p>
    <w:p w14:paraId="330002AF" w14:textId="77777777" w:rsidR="00AA2A97" w:rsidRPr="00AA2A97" w:rsidRDefault="00AA2A97" w:rsidP="00AA2A97">
      <w:pPr>
        <w:rPr>
          <w:sz w:val="32"/>
          <w:szCs w:val="32"/>
        </w:rPr>
      </w:pPr>
    </w:p>
    <w:p w14:paraId="2273B25E" w14:textId="77777777" w:rsidR="00AA2A97" w:rsidRPr="00AA2A97" w:rsidRDefault="00AA2A97" w:rsidP="00AA2A97">
      <w:pPr>
        <w:rPr>
          <w:sz w:val="32"/>
          <w:szCs w:val="32"/>
        </w:rPr>
      </w:pPr>
    </w:p>
    <w:p w14:paraId="4B8E7BDE" w14:textId="77777777" w:rsidR="00AA2A97" w:rsidRPr="00AA2A97" w:rsidRDefault="00AA2A97" w:rsidP="00AA2A97">
      <w:pPr>
        <w:rPr>
          <w:b/>
          <w:sz w:val="32"/>
          <w:szCs w:val="32"/>
        </w:rPr>
      </w:pPr>
      <w:r w:rsidRPr="00AA2A97">
        <w:rPr>
          <w:b/>
          <w:sz w:val="32"/>
          <w:szCs w:val="32"/>
        </w:rPr>
        <w:t>Question Bonus : A la fin de l’année 2020, la dette publique de l’ensemble des APU devrait être à quel niveau par rapport au PIB ?</w:t>
      </w:r>
    </w:p>
    <w:p w14:paraId="3432C492" w14:textId="77777777" w:rsidR="00AA2A97" w:rsidRPr="00AA2A97" w:rsidRDefault="00AA2A97" w:rsidP="00AA2A97">
      <w:pPr>
        <w:rPr>
          <w:sz w:val="32"/>
          <w:szCs w:val="32"/>
        </w:rPr>
      </w:pPr>
      <w:r w:rsidRPr="00AA2A97">
        <w:rPr>
          <w:sz w:val="32"/>
          <w:szCs w:val="32"/>
        </w:rPr>
        <w:t>A/ 120%</w:t>
      </w:r>
    </w:p>
    <w:p w14:paraId="1AABF579" w14:textId="77777777" w:rsidR="00AA2A97" w:rsidRPr="00AA2A97" w:rsidRDefault="00AA2A97" w:rsidP="00AA2A97">
      <w:pPr>
        <w:rPr>
          <w:sz w:val="32"/>
          <w:szCs w:val="32"/>
        </w:rPr>
      </w:pPr>
      <w:r w:rsidRPr="00AA2A97">
        <w:rPr>
          <w:sz w:val="32"/>
          <w:szCs w:val="32"/>
        </w:rPr>
        <w:t>B/ 130%</w:t>
      </w:r>
    </w:p>
    <w:p w14:paraId="7A9B98BD" w14:textId="53DC035C" w:rsidR="00AA2A97" w:rsidRPr="005F579A" w:rsidRDefault="00AA2A97">
      <w:pPr>
        <w:rPr>
          <w:sz w:val="32"/>
          <w:szCs w:val="32"/>
        </w:rPr>
      </w:pPr>
      <w:r w:rsidRPr="00AA2A97">
        <w:rPr>
          <w:sz w:val="32"/>
          <w:szCs w:val="32"/>
        </w:rPr>
        <w:t>C/ 140%</w:t>
      </w:r>
    </w:p>
    <w:sectPr w:rsidR="00AA2A97" w:rsidRPr="005F579A" w:rsidSect="005D6E33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B"/>
    <w:rsid w:val="0003586E"/>
    <w:rsid w:val="00072BEC"/>
    <w:rsid w:val="001303E7"/>
    <w:rsid w:val="0017559D"/>
    <w:rsid w:val="00214897"/>
    <w:rsid w:val="00223BCF"/>
    <w:rsid w:val="00301DA2"/>
    <w:rsid w:val="00416B7B"/>
    <w:rsid w:val="00471D94"/>
    <w:rsid w:val="0047355B"/>
    <w:rsid w:val="005659C9"/>
    <w:rsid w:val="00591BC0"/>
    <w:rsid w:val="005D6E33"/>
    <w:rsid w:val="005F579A"/>
    <w:rsid w:val="0069519B"/>
    <w:rsid w:val="007D24A2"/>
    <w:rsid w:val="007D7FCB"/>
    <w:rsid w:val="007E528E"/>
    <w:rsid w:val="008E5EB5"/>
    <w:rsid w:val="00A662D2"/>
    <w:rsid w:val="00AA2A97"/>
    <w:rsid w:val="00B442FD"/>
    <w:rsid w:val="00BA5FA4"/>
    <w:rsid w:val="00BC5801"/>
    <w:rsid w:val="00BD3D43"/>
    <w:rsid w:val="00C352D0"/>
    <w:rsid w:val="00CE0671"/>
    <w:rsid w:val="00E14885"/>
    <w:rsid w:val="00E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DB1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843</Words>
  <Characters>4638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2020-12-01T05:19:00Z</dcterms:created>
  <dcterms:modified xsi:type="dcterms:W3CDTF">2020-12-01T06:26:00Z</dcterms:modified>
</cp:coreProperties>
</file>