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56AF" w:rsidRPr="00423D96" w:rsidRDefault="00AB56AF" w:rsidP="00AB56AF">
      <w:pPr>
        <w:jc w:val="center"/>
        <w:rPr>
          <w:b/>
          <w:bCs/>
          <w:sz w:val="40"/>
          <w:szCs w:val="40"/>
        </w:rPr>
      </w:pPr>
      <w:r w:rsidRPr="00423D96">
        <w:rPr>
          <w:b/>
          <w:bCs/>
          <w:sz w:val="40"/>
          <w:szCs w:val="40"/>
        </w:rPr>
        <w:t xml:space="preserve">LEÇON </w:t>
      </w:r>
      <w:r w:rsidR="00D26A8A">
        <w:rPr>
          <w:b/>
          <w:bCs/>
          <w:sz w:val="40"/>
          <w:szCs w:val="40"/>
        </w:rPr>
        <w:t>12 (dernière)</w:t>
      </w:r>
    </w:p>
    <w:p w:rsidR="00AB56AF" w:rsidRPr="00423D96" w:rsidRDefault="00AB56AF" w:rsidP="00AB56AF">
      <w:pPr>
        <w:jc w:val="center"/>
        <w:rPr>
          <w:b/>
          <w:bCs/>
          <w:sz w:val="40"/>
          <w:szCs w:val="40"/>
        </w:rPr>
      </w:pPr>
    </w:p>
    <w:p w:rsidR="00B4655B" w:rsidRPr="00423D96" w:rsidRDefault="00B4655B" w:rsidP="00AB56AF">
      <w:pPr>
        <w:jc w:val="center"/>
        <w:rPr>
          <w:b/>
          <w:bCs/>
          <w:sz w:val="40"/>
          <w:szCs w:val="40"/>
        </w:rPr>
      </w:pPr>
      <w:r w:rsidRPr="00423D96">
        <w:rPr>
          <w:b/>
          <w:bCs/>
          <w:sz w:val="40"/>
          <w:szCs w:val="40"/>
        </w:rPr>
        <w:t>EXÉCUTION &amp; CONTRÔLE DES LOIS DE FINANCES</w:t>
      </w:r>
    </w:p>
    <w:p w:rsidR="00B4655B" w:rsidRDefault="00B4655B"/>
    <w:p w:rsidR="00AB56AF" w:rsidRDefault="00AB56AF"/>
    <w:p w:rsidR="00BC4148" w:rsidRDefault="00BC4148"/>
    <w:p w:rsidR="00BC4148" w:rsidRDefault="00BC4148"/>
    <w:p w:rsidR="00B4655B" w:rsidRPr="00423D96" w:rsidRDefault="00B4655B">
      <w:pPr>
        <w:rPr>
          <w:b/>
          <w:bCs/>
          <w:sz w:val="32"/>
          <w:szCs w:val="32"/>
        </w:rPr>
      </w:pPr>
      <w:r w:rsidRPr="00423D96">
        <w:rPr>
          <w:b/>
          <w:bCs/>
          <w:sz w:val="32"/>
          <w:szCs w:val="32"/>
        </w:rPr>
        <w:t xml:space="preserve">INTRODUCTION </w:t>
      </w:r>
    </w:p>
    <w:p w:rsidR="00B4655B" w:rsidRPr="00423D96" w:rsidRDefault="00B4655B">
      <w:pPr>
        <w:rPr>
          <w:sz w:val="32"/>
          <w:szCs w:val="32"/>
        </w:rPr>
      </w:pPr>
    </w:p>
    <w:p w:rsidR="00B4655B" w:rsidRPr="00423D96" w:rsidRDefault="00B4655B">
      <w:pPr>
        <w:rPr>
          <w:sz w:val="32"/>
          <w:szCs w:val="32"/>
        </w:rPr>
      </w:pPr>
      <w:proofErr w:type="gramStart"/>
      <w:r w:rsidRPr="00423D96">
        <w:rPr>
          <w:sz w:val="32"/>
          <w:szCs w:val="32"/>
        </w:rPr>
        <w:t>Le leçon</w:t>
      </w:r>
      <w:proofErr w:type="gramEnd"/>
      <w:r w:rsidRPr="00423D96">
        <w:rPr>
          <w:sz w:val="32"/>
          <w:szCs w:val="32"/>
        </w:rPr>
        <w:t xml:space="preserve"> sera divisée en deux chapitres : l’exécution et le contrôle des Lois de Finances</w:t>
      </w:r>
    </w:p>
    <w:p w:rsidR="00B4655B" w:rsidRPr="00423D96" w:rsidRDefault="00B4655B">
      <w:pPr>
        <w:rPr>
          <w:sz w:val="32"/>
          <w:szCs w:val="32"/>
        </w:rPr>
      </w:pPr>
    </w:p>
    <w:p w:rsidR="00B4655B" w:rsidRPr="00423D96" w:rsidRDefault="00B4655B">
      <w:pPr>
        <w:rPr>
          <w:sz w:val="32"/>
          <w:szCs w:val="32"/>
        </w:rPr>
      </w:pPr>
      <w:r w:rsidRPr="00423D96">
        <w:rPr>
          <w:sz w:val="32"/>
          <w:szCs w:val="32"/>
        </w:rPr>
        <w:t>Que se passe-t-il dès la promulgation de la LFI ?</w:t>
      </w:r>
    </w:p>
    <w:p w:rsidR="00B4655B" w:rsidRPr="00423D96" w:rsidRDefault="00B4655B">
      <w:pPr>
        <w:rPr>
          <w:sz w:val="32"/>
          <w:szCs w:val="32"/>
        </w:rPr>
      </w:pPr>
      <w:r w:rsidRPr="00423D96">
        <w:rPr>
          <w:sz w:val="32"/>
          <w:szCs w:val="32"/>
        </w:rPr>
        <w:t>Le Décret de répartition</w:t>
      </w:r>
    </w:p>
    <w:p w:rsidR="00B4655B" w:rsidRPr="00423D96" w:rsidRDefault="00B4655B">
      <w:pPr>
        <w:rPr>
          <w:sz w:val="32"/>
          <w:szCs w:val="32"/>
        </w:rPr>
      </w:pPr>
      <w:r w:rsidRPr="00423D96">
        <w:rPr>
          <w:sz w:val="32"/>
          <w:szCs w:val="32"/>
        </w:rPr>
        <w:t>Les crédits sont mis à disposition des ordonnateurs dès le démarrage de l’année</w:t>
      </w:r>
    </w:p>
    <w:p w:rsidR="00B4655B" w:rsidRPr="00423D96" w:rsidRDefault="00B4655B">
      <w:pPr>
        <w:rPr>
          <w:sz w:val="32"/>
          <w:szCs w:val="32"/>
        </w:rPr>
      </w:pPr>
    </w:p>
    <w:p w:rsidR="00B4655B" w:rsidRPr="00423D96" w:rsidRDefault="00B4655B">
      <w:pPr>
        <w:rPr>
          <w:sz w:val="32"/>
          <w:szCs w:val="32"/>
        </w:rPr>
      </w:pPr>
      <w:r w:rsidRPr="00423D96">
        <w:rPr>
          <w:sz w:val="32"/>
          <w:szCs w:val="32"/>
        </w:rPr>
        <w:t>Par la suite le pouvoir réglementaire dispose d’un pouvoir de modification des crédits votés :</w:t>
      </w:r>
    </w:p>
    <w:p w:rsidR="00B4655B" w:rsidRPr="00423D96" w:rsidRDefault="00B4655B">
      <w:pPr>
        <w:rPr>
          <w:sz w:val="32"/>
          <w:szCs w:val="32"/>
        </w:rPr>
      </w:pPr>
      <w:r w:rsidRPr="00423D96">
        <w:rPr>
          <w:sz w:val="32"/>
          <w:szCs w:val="32"/>
        </w:rPr>
        <w:t>Article 11 utilisation des réserves de la mission provisions</w:t>
      </w:r>
    </w:p>
    <w:p w:rsidR="00B4655B" w:rsidRPr="00423D96" w:rsidRDefault="00B4655B">
      <w:pPr>
        <w:rPr>
          <w:sz w:val="32"/>
          <w:szCs w:val="32"/>
        </w:rPr>
      </w:pPr>
      <w:r w:rsidRPr="00423D96">
        <w:rPr>
          <w:sz w:val="32"/>
          <w:szCs w:val="32"/>
        </w:rPr>
        <w:t>Article 12 utilisation des procédures de virements et transferts de crédits</w:t>
      </w:r>
    </w:p>
    <w:p w:rsidR="00B4655B" w:rsidRPr="00423D96" w:rsidRDefault="00B4655B">
      <w:pPr>
        <w:rPr>
          <w:sz w:val="32"/>
          <w:szCs w:val="32"/>
        </w:rPr>
      </w:pPr>
      <w:r w:rsidRPr="00423D96">
        <w:rPr>
          <w:sz w:val="32"/>
          <w:szCs w:val="32"/>
        </w:rPr>
        <w:t>Article 13 décrets d’avances</w:t>
      </w:r>
    </w:p>
    <w:p w:rsidR="00B4655B" w:rsidRPr="00423D96" w:rsidRDefault="00B4655B">
      <w:pPr>
        <w:rPr>
          <w:sz w:val="32"/>
          <w:szCs w:val="32"/>
        </w:rPr>
      </w:pPr>
      <w:r w:rsidRPr="00423D96">
        <w:rPr>
          <w:sz w:val="32"/>
          <w:szCs w:val="32"/>
        </w:rPr>
        <w:t>Article 14 annulations de crédits</w:t>
      </w:r>
    </w:p>
    <w:p w:rsidR="00B4655B" w:rsidRPr="00423D96" w:rsidRDefault="00B4655B">
      <w:pPr>
        <w:rPr>
          <w:sz w:val="32"/>
          <w:szCs w:val="32"/>
        </w:rPr>
      </w:pPr>
    </w:p>
    <w:p w:rsidR="00B4655B" w:rsidRPr="00423D96" w:rsidRDefault="00B4655B">
      <w:pPr>
        <w:rPr>
          <w:sz w:val="32"/>
          <w:szCs w:val="32"/>
        </w:rPr>
      </w:pPr>
      <w:r w:rsidRPr="00423D96">
        <w:rPr>
          <w:sz w:val="32"/>
          <w:szCs w:val="32"/>
        </w:rPr>
        <w:t xml:space="preserve">Mais le Budget de l’État doit être exécuté </w:t>
      </w:r>
    </w:p>
    <w:p w:rsidR="00B4655B" w:rsidRPr="00423D96" w:rsidRDefault="00B4655B">
      <w:pPr>
        <w:rPr>
          <w:sz w:val="32"/>
          <w:szCs w:val="32"/>
        </w:rPr>
      </w:pPr>
      <w:r w:rsidRPr="00423D96">
        <w:rPr>
          <w:sz w:val="32"/>
          <w:szCs w:val="32"/>
        </w:rPr>
        <w:t>Les recettes encaissées et les dépenses payées</w:t>
      </w:r>
    </w:p>
    <w:p w:rsidR="00B4655B" w:rsidRDefault="00B4655B"/>
    <w:p w:rsidR="002C3091" w:rsidRPr="00423D96" w:rsidRDefault="00B4655B">
      <w:pPr>
        <w:rPr>
          <w:b/>
          <w:bCs/>
          <w:sz w:val="40"/>
          <w:szCs w:val="40"/>
        </w:rPr>
      </w:pPr>
      <w:r w:rsidRPr="00BC4148">
        <w:rPr>
          <w:b/>
          <w:bCs/>
          <w:sz w:val="40"/>
          <w:szCs w:val="40"/>
          <w:highlight w:val="red"/>
        </w:rPr>
        <w:t xml:space="preserve">CHAPITRE 1 L’EXÉCUTION DES </w:t>
      </w:r>
      <w:r w:rsidR="00DA3FED" w:rsidRPr="00BC4148">
        <w:rPr>
          <w:b/>
          <w:bCs/>
          <w:sz w:val="40"/>
          <w:szCs w:val="40"/>
          <w:highlight w:val="red"/>
        </w:rPr>
        <w:t>LOIS DE FINANCES</w:t>
      </w:r>
    </w:p>
    <w:p w:rsidR="002C3091" w:rsidRDefault="002C3091"/>
    <w:p w:rsidR="002C3091" w:rsidRPr="00423D96" w:rsidRDefault="002C3091">
      <w:pPr>
        <w:rPr>
          <w:b/>
          <w:bCs/>
          <w:sz w:val="32"/>
          <w:szCs w:val="32"/>
        </w:rPr>
      </w:pPr>
      <w:r w:rsidRPr="00BC4148">
        <w:rPr>
          <w:b/>
          <w:bCs/>
          <w:sz w:val="32"/>
          <w:szCs w:val="32"/>
          <w:highlight w:val="green"/>
        </w:rPr>
        <w:t>Section 1 Le principe de séparation des ordonnateurs et des comptables</w:t>
      </w:r>
    </w:p>
    <w:p w:rsidR="002C3091" w:rsidRPr="00423D96" w:rsidRDefault="002C3091">
      <w:pPr>
        <w:rPr>
          <w:sz w:val="32"/>
          <w:szCs w:val="32"/>
          <w:u w:val="single"/>
        </w:rPr>
      </w:pPr>
      <w:r w:rsidRPr="00BC4148">
        <w:rPr>
          <w:sz w:val="32"/>
          <w:szCs w:val="32"/>
          <w:highlight w:val="yellow"/>
          <w:u w:val="single"/>
        </w:rPr>
        <w:t xml:space="preserve">A/ </w:t>
      </w:r>
      <w:r w:rsidR="00587A6B" w:rsidRPr="00BC4148">
        <w:rPr>
          <w:sz w:val="32"/>
          <w:szCs w:val="32"/>
          <w:highlight w:val="yellow"/>
          <w:u w:val="single"/>
        </w:rPr>
        <w:t>Présentation générale</w:t>
      </w:r>
      <w:r w:rsidRPr="00BC4148">
        <w:rPr>
          <w:sz w:val="32"/>
          <w:szCs w:val="32"/>
          <w:highlight w:val="yellow"/>
          <w:u w:val="single"/>
        </w:rPr>
        <w:t xml:space="preserve"> du principe</w:t>
      </w:r>
    </w:p>
    <w:p w:rsidR="002C3091" w:rsidRDefault="002C3091">
      <w:pPr>
        <w:rPr>
          <w:sz w:val="32"/>
          <w:szCs w:val="32"/>
        </w:rPr>
      </w:pPr>
      <w:r w:rsidRPr="00BC4148">
        <w:rPr>
          <w:sz w:val="32"/>
          <w:szCs w:val="32"/>
          <w:highlight w:val="cyan"/>
        </w:rPr>
        <w:t>§1 La définition du principe</w:t>
      </w:r>
    </w:p>
    <w:p w:rsidR="001E48A0" w:rsidRDefault="001E48A0">
      <w:pPr>
        <w:rPr>
          <w:sz w:val="32"/>
          <w:szCs w:val="32"/>
        </w:rPr>
      </w:pPr>
      <w:r>
        <w:rPr>
          <w:sz w:val="32"/>
          <w:szCs w:val="32"/>
        </w:rPr>
        <w:t xml:space="preserve">Il y a un ordonnateur pour décider des opérations et un comptable qui a le monopole du maniement des fonds publics : encaisser les recettes et payer les dépenses. C’est donc une séparation des fonctions entre les deux mais aussi c’est une séparation des pouvoirs, on ne veut pas de confusion des pouvoirs financiers entre les mêmes mains. Au contraire, c’est diviser pour régner. L’ordonnateur va contrôler les ordres exécutés par le comptable et le comptable va vérifier que les ordres donnés sont bien conformes au Décret </w:t>
      </w:r>
      <w:r>
        <w:rPr>
          <w:sz w:val="32"/>
          <w:szCs w:val="32"/>
        </w:rPr>
        <w:lastRenderedPageBreak/>
        <w:t xml:space="preserve">GBCP. C’est un principe qui constitue une règle générale d’organisation des administrations. </w:t>
      </w:r>
      <w:r w:rsidR="002A6A3F">
        <w:rPr>
          <w:sz w:val="32"/>
          <w:szCs w:val="32"/>
        </w:rPr>
        <w:t xml:space="preserve">C’est un principe ancien qui date de 1822 et qui a été repris dans tous les textes ultérieurs. </w:t>
      </w:r>
    </w:p>
    <w:p w:rsidR="002A6A3F" w:rsidRPr="00423D96" w:rsidRDefault="002A6A3F">
      <w:pPr>
        <w:rPr>
          <w:sz w:val="32"/>
          <w:szCs w:val="32"/>
        </w:rPr>
      </w:pPr>
    </w:p>
    <w:p w:rsidR="002C3091" w:rsidRPr="00423D96" w:rsidRDefault="002C3091">
      <w:pPr>
        <w:rPr>
          <w:sz w:val="32"/>
          <w:szCs w:val="32"/>
        </w:rPr>
      </w:pPr>
      <w:r w:rsidRPr="00BC4148">
        <w:rPr>
          <w:sz w:val="32"/>
          <w:szCs w:val="32"/>
          <w:highlight w:val="cyan"/>
        </w:rPr>
        <w:t>§2 Les aménagements du principe</w:t>
      </w:r>
    </w:p>
    <w:p w:rsidR="00B4655B" w:rsidRPr="00423D96" w:rsidRDefault="002C3091" w:rsidP="002C3091">
      <w:pPr>
        <w:pStyle w:val="Paragraphedeliste"/>
        <w:numPr>
          <w:ilvl w:val="0"/>
          <w:numId w:val="1"/>
        </w:numPr>
        <w:rPr>
          <w:sz w:val="32"/>
          <w:szCs w:val="32"/>
        </w:rPr>
      </w:pPr>
      <w:r w:rsidRPr="00423D96">
        <w:rPr>
          <w:sz w:val="32"/>
          <w:szCs w:val="32"/>
        </w:rPr>
        <w:t>Les 3 aménagements : la régie - le paiement sans ordonnancement préalable – droit de réquisition</w:t>
      </w:r>
      <w:r w:rsidR="00B4655B" w:rsidRPr="00423D96">
        <w:rPr>
          <w:sz w:val="32"/>
          <w:szCs w:val="32"/>
        </w:rPr>
        <w:t xml:space="preserve"> </w:t>
      </w:r>
    </w:p>
    <w:p w:rsidR="002C3091" w:rsidRPr="00423D96" w:rsidRDefault="002C3091" w:rsidP="002C3091">
      <w:pPr>
        <w:pStyle w:val="Paragraphedeliste"/>
        <w:numPr>
          <w:ilvl w:val="0"/>
          <w:numId w:val="1"/>
        </w:numPr>
        <w:rPr>
          <w:sz w:val="32"/>
          <w:szCs w:val="32"/>
        </w:rPr>
      </w:pPr>
      <w:r w:rsidRPr="00423D96">
        <w:rPr>
          <w:sz w:val="32"/>
          <w:szCs w:val="32"/>
        </w:rPr>
        <w:t>La sanction : la gestion de fait</w:t>
      </w:r>
    </w:p>
    <w:p w:rsidR="00587A6B" w:rsidRPr="00423D96" w:rsidRDefault="00587A6B" w:rsidP="00587A6B">
      <w:pPr>
        <w:pStyle w:val="Paragraphedeliste"/>
        <w:rPr>
          <w:sz w:val="32"/>
          <w:szCs w:val="32"/>
        </w:rPr>
      </w:pPr>
    </w:p>
    <w:p w:rsidR="002C3091" w:rsidRPr="00423D96" w:rsidRDefault="002C3091" w:rsidP="002C3091">
      <w:pPr>
        <w:rPr>
          <w:sz w:val="32"/>
          <w:szCs w:val="32"/>
          <w:u w:val="single"/>
        </w:rPr>
      </w:pPr>
      <w:r w:rsidRPr="00BC4148">
        <w:rPr>
          <w:sz w:val="32"/>
          <w:szCs w:val="32"/>
          <w:highlight w:val="yellow"/>
          <w:u w:val="single"/>
        </w:rPr>
        <w:t>B/ Les ordonnateurs et les nouveaux gestionnaires</w:t>
      </w:r>
    </w:p>
    <w:p w:rsidR="002C3091" w:rsidRPr="00423D96" w:rsidRDefault="002C3091" w:rsidP="002C3091">
      <w:pPr>
        <w:rPr>
          <w:sz w:val="32"/>
          <w:szCs w:val="32"/>
        </w:rPr>
      </w:pPr>
      <w:r w:rsidRPr="00BC4148">
        <w:rPr>
          <w:sz w:val="32"/>
          <w:szCs w:val="32"/>
          <w:highlight w:val="cyan"/>
        </w:rPr>
        <w:t>§1 Les différentes catégories d’ordonnateurs et de gestionnaires</w:t>
      </w:r>
    </w:p>
    <w:p w:rsidR="002C3091" w:rsidRPr="00423D96" w:rsidRDefault="002C3091" w:rsidP="002C3091">
      <w:pPr>
        <w:pStyle w:val="Paragraphedeliste"/>
        <w:numPr>
          <w:ilvl w:val="0"/>
          <w:numId w:val="2"/>
        </w:numPr>
        <w:rPr>
          <w:sz w:val="32"/>
          <w:szCs w:val="32"/>
        </w:rPr>
      </w:pPr>
      <w:r w:rsidRPr="00423D96">
        <w:rPr>
          <w:sz w:val="32"/>
          <w:szCs w:val="32"/>
        </w:rPr>
        <w:t xml:space="preserve">Les différentes catégories d’ordonnateurs : principaux – secondaires – délégations </w:t>
      </w:r>
    </w:p>
    <w:p w:rsidR="002C3091" w:rsidRPr="00423D96" w:rsidRDefault="002C3091" w:rsidP="002C3091">
      <w:pPr>
        <w:pStyle w:val="Paragraphedeliste"/>
        <w:numPr>
          <w:ilvl w:val="0"/>
          <w:numId w:val="2"/>
        </w:numPr>
        <w:rPr>
          <w:sz w:val="32"/>
          <w:szCs w:val="32"/>
        </w:rPr>
      </w:pPr>
      <w:r w:rsidRPr="00423D96">
        <w:rPr>
          <w:sz w:val="32"/>
          <w:szCs w:val="32"/>
        </w:rPr>
        <w:t xml:space="preserve">Les nouveaux acteurs de la gestion budgétaire : RPROG – RBOP – RUO </w:t>
      </w:r>
      <w:r w:rsidR="00587A6B" w:rsidRPr="00423D96">
        <w:rPr>
          <w:sz w:val="32"/>
          <w:szCs w:val="32"/>
        </w:rPr>
        <w:t>–</w:t>
      </w:r>
      <w:r w:rsidRPr="00423D96">
        <w:rPr>
          <w:sz w:val="32"/>
          <w:szCs w:val="32"/>
        </w:rPr>
        <w:t xml:space="preserve"> RFFM</w:t>
      </w:r>
    </w:p>
    <w:p w:rsidR="00587A6B" w:rsidRPr="00423D96" w:rsidRDefault="00587A6B" w:rsidP="00587A6B">
      <w:pPr>
        <w:rPr>
          <w:sz w:val="32"/>
          <w:szCs w:val="32"/>
        </w:rPr>
      </w:pPr>
      <w:r w:rsidRPr="00BC4148">
        <w:rPr>
          <w:sz w:val="32"/>
          <w:szCs w:val="32"/>
          <w:highlight w:val="cyan"/>
        </w:rPr>
        <w:t>§2 Le rôle et la responsabilité des ordonnateurs</w:t>
      </w:r>
    </w:p>
    <w:p w:rsidR="00587A6B" w:rsidRPr="00423D96" w:rsidRDefault="00587A6B" w:rsidP="00587A6B">
      <w:pPr>
        <w:rPr>
          <w:sz w:val="32"/>
          <w:szCs w:val="32"/>
        </w:rPr>
      </w:pPr>
    </w:p>
    <w:p w:rsidR="00587A6B" w:rsidRPr="00423D96" w:rsidRDefault="00587A6B" w:rsidP="00587A6B">
      <w:pPr>
        <w:rPr>
          <w:sz w:val="32"/>
          <w:szCs w:val="32"/>
          <w:u w:val="single"/>
        </w:rPr>
      </w:pPr>
      <w:r w:rsidRPr="00BC4148">
        <w:rPr>
          <w:sz w:val="32"/>
          <w:szCs w:val="32"/>
          <w:highlight w:val="yellow"/>
          <w:u w:val="single"/>
        </w:rPr>
        <w:t>C/ Les comptables publics</w:t>
      </w:r>
    </w:p>
    <w:p w:rsidR="00587A6B" w:rsidRPr="00BC4148" w:rsidRDefault="00587A6B" w:rsidP="00587A6B">
      <w:pPr>
        <w:rPr>
          <w:sz w:val="32"/>
          <w:szCs w:val="32"/>
          <w:highlight w:val="cyan"/>
        </w:rPr>
      </w:pPr>
      <w:r w:rsidRPr="00BC4148">
        <w:rPr>
          <w:sz w:val="32"/>
          <w:szCs w:val="32"/>
          <w:highlight w:val="cyan"/>
        </w:rPr>
        <w:t>§1 Les différentes catégories de comptables publics</w:t>
      </w:r>
    </w:p>
    <w:p w:rsidR="00587A6B" w:rsidRPr="00BC4148" w:rsidRDefault="00587A6B" w:rsidP="00587A6B">
      <w:pPr>
        <w:rPr>
          <w:sz w:val="32"/>
          <w:szCs w:val="32"/>
          <w:highlight w:val="cyan"/>
        </w:rPr>
      </w:pPr>
      <w:r w:rsidRPr="00BC4148">
        <w:rPr>
          <w:sz w:val="32"/>
          <w:szCs w:val="32"/>
          <w:highlight w:val="cyan"/>
        </w:rPr>
        <w:t>§2 Le rôle des comptables publics</w:t>
      </w:r>
    </w:p>
    <w:p w:rsidR="00587A6B" w:rsidRPr="00423D96" w:rsidRDefault="00587A6B" w:rsidP="00587A6B">
      <w:pPr>
        <w:rPr>
          <w:sz w:val="32"/>
          <w:szCs w:val="32"/>
        </w:rPr>
      </w:pPr>
      <w:r w:rsidRPr="00BC4148">
        <w:rPr>
          <w:sz w:val="32"/>
          <w:szCs w:val="32"/>
          <w:highlight w:val="cyan"/>
        </w:rPr>
        <w:t>§3 La responsabilité des comptables publics</w:t>
      </w:r>
    </w:p>
    <w:p w:rsidR="00587A6B" w:rsidRDefault="00587A6B" w:rsidP="00587A6B"/>
    <w:p w:rsidR="00587A6B" w:rsidRPr="00423D96" w:rsidRDefault="00587A6B" w:rsidP="00587A6B">
      <w:pPr>
        <w:rPr>
          <w:b/>
          <w:bCs/>
          <w:sz w:val="32"/>
          <w:szCs w:val="32"/>
        </w:rPr>
      </w:pPr>
      <w:r w:rsidRPr="00BC4148">
        <w:rPr>
          <w:b/>
          <w:bCs/>
          <w:sz w:val="32"/>
          <w:szCs w:val="32"/>
          <w:highlight w:val="green"/>
        </w:rPr>
        <w:t>Section 2 : Les opérations d’exécution du Budget de l’État</w:t>
      </w:r>
    </w:p>
    <w:p w:rsidR="00587A6B" w:rsidRPr="00423D96" w:rsidRDefault="00587A6B" w:rsidP="00587A6B">
      <w:pPr>
        <w:rPr>
          <w:sz w:val="32"/>
          <w:szCs w:val="32"/>
          <w:u w:val="single"/>
        </w:rPr>
      </w:pPr>
      <w:r w:rsidRPr="00BC4148">
        <w:rPr>
          <w:sz w:val="32"/>
          <w:szCs w:val="32"/>
          <w:highlight w:val="yellow"/>
          <w:u w:val="single"/>
        </w:rPr>
        <w:t>A/ L’exécution de la dépense</w:t>
      </w:r>
    </w:p>
    <w:p w:rsidR="00587A6B" w:rsidRPr="00423D96" w:rsidRDefault="00587A6B" w:rsidP="00587A6B">
      <w:pPr>
        <w:rPr>
          <w:sz w:val="32"/>
          <w:szCs w:val="32"/>
        </w:rPr>
      </w:pPr>
      <w:r w:rsidRPr="00BC4148">
        <w:rPr>
          <w:sz w:val="32"/>
          <w:szCs w:val="32"/>
          <w:highlight w:val="cyan"/>
        </w:rPr>
        <w:t>§1 La phase administrative</w:t>
      </w:r>
    </w:p>
    <w:p w:rsidR="00587A6B" w:rsidRPr="00423D96" w:rsidRDefault="000C6E21" w:rsidP="00587A6B">
      <w:pPr>
        <w:pStyle w:val="Paragraphedeliste"/>
        <w:numPr>
          <w:ilvl w:val="0"/>
          <w:numId w:val="3"/>
        </w:numPr>
        <w:rPr>
          <w:sz w:val="32"/>
          <w:szCs w:val="32"/>
        </w:rPr>
      </w:pPr>
      <w:r w:rsidRPr="00423D96">
        <w:rPr>
          <w:sz w:val="32"/>
          <w:szCs w:val="32"/>
        </w:rPr>
        <w:t>L’engagement article 30</w:t>
      </w:r>
      <w:r w:rsidR="00AB4422">
        <w:rPr>
          <w:sz w:val="32"/>
          <w:szCs w:val="32"/>
        </w:rPr>
        <w:t xml:space="preserve"> c’est la date de naissance de l’obligation, de la dette. Deux dimensions : réservation des crédits s’appelle l’engagement comptable et l’engagement juridique correspond à l’engagement de l’État vis-à-vis de l’extérieur. </w:t>
      </w:r>
    </w:p>
    <w:p w:rsidR="000C6E21" w:rsidRPr="00423D96" w:rsidRDefault="000C6E21" w:rsidP="00587A6B">
      <w:pPr>
        <w:pStyle w:val="Paragraphedeliste"/>
        <w:numPr>
          <w:ilvl w:val="0"/>
          <w:numId w:val="3"/>
        </w:numPr>
        <w:rPr>
          <w:sz w:val="32"/>
          <w:szCs w:val="32"/>
        </w:rPr>
      </w:pPr>
      <w:r w:rsidRPr="00423D96">
        <w:rPr>
          <w:sz w:val="32"/>
          <w:szCs w:val="32"/>
        </w:rPr>
        <w:t>La liquidation article 31</w:t>
      </w:r>
      <w:r w:rsidR="00AB4422">
        <w:rPr>
          <w:sz w:val="32"/>
          <w:szCs w:val="32"/>
        </w:rPr>
        <w:t xml:space="preserve"> cela consiste à rendre la dette liquide : certifier le service fait (contrepartie) + calculer le montant exact</w:t>
      </w:r>
    </w:p>
    <w:p w:rsidR="000C6E21" w:rsidRPr="00423D96" w:rsidRDefault="000C6E21" w:rsidP="00587A6B">
      <w:pPr>
        <w:pStyle w:val="Paragraphedeliste"/>
        <w:numPr>
          <w:ilvl w:val="0"/>
          <w:numId w:val="3"/>
        </w:numPr>
        <w:rPr>
          <w:sz w:val="32"/>
          <w:szCs w:val="32"/>
        </w:rPr>
      </w:pPr>
      <w:r w:rsidRPr="00423D96">
        <w:rPr>
          <w:sz w:val="32"/>
          <w:szCs w:val="32"/>
        </w:rPr>
        <w:t>L’ordonnancement article 32</w:t>
      </w:r>
    </w:p>
    <w:p w:rsidR="00587A6B" w:rsidRPr="00423D96" w:rsidRDefault="00587A6B" w:rsidP="00587A6B">
      <w:pPr>
        <w:rPr>
          <w:sz w:val="32"/>
          <w:szCs w:val="32"/>
        </w:rPr>
      </w:pPr>
      <w:r w:rsidRPr="00BC4148">
        <w:rPr>
          <w:sz w:val="32"/>
          <w:szCs w:val="32"/>
          <w:highlight w:val="cyan"/>
        </w:rPr>
        <w:t>§2</w:t>
      </w:r>
      <w:r w:rsidR="000C6E21" w:rsidRPr="00BC4148">
        <w:rPr>
          <w:sz w:val="32"/>
          <w:szCs w:val="32"/>
          <w:highlight w:val="cyan"/>
        </w:rPr>
        <w:t xml:space="preserve"> La phase comptable</w:t>
      </w:r>
      <w:r w:rsidR="000C6E21" w:rsidRPr="00423D96">
        <w:rPr>
          <w:sz w:val="32"/>
          <w:szCs w:val="32"/>
        </w:rPr>
        <w:t xml:space="preserve"> </w:t>
      </w:r>
    </w:p>
    <w:p w:rsidR="000C6E21" w:rsidRPr="00423D96" w:rsidRDefault="000C6E21" w:rsidP="000C6E21">
      <w:pPr>
        <w:pStyle w:val="Paragraphedeliste"/>
        <w:numPr>
          <w:ilvl w:val="0"/>
          <w:numId w:val="4"/>
        </w:numPr>
        <w:rPr>
          <w:sz w:val="32"/>
          <w:szCs w:val="32"/>
        </w:rPr>
      </w:pPr>
      <w:r w:rsidRPr="00423D96">
        <w:rPr>
          <w:sz w:val="32"/>
          <w:szCs w:val="32"/>
        </w:rPr>
        <w:t>Les contrôles opérés par le comptable </w:t>
      </w:r>
    </w:p>
    <w:p w:rsidR="00AB56AF" w:rsidRPr="00423D96" w:rsidRDefault="00AB56AF" w:rsidP="000C6E21">
      <w:pPr>
        <w:pStyle w:val="Paragraphedeliste"/>
        <w:numPr>
          <w:ilvl w:val="0"/>
          <w:numId w:val="4"/>
        </w:numPr>
        <w:rPr>
          <w:sz w:val="32"/>
          <w:szCs w:val="32"/>
        </w:rPr>
      </w:pPr>
      <w:r w:rsidRPr="00423D96">
        <w:rPr>
          <w:sz w:val="32"/>
          <w:szCs w:val="32"/>
        </w:rPr>
        <w:t>Le paiement – virement SEPA – 30 jours maxi moyenne réelle 20 jours</w:t>
      </w:r>
    </w:p>
    <w:p w:rsidR="00587A6B" w:rsidRPr="00423D96" w:rsidRDefault="00587A6B" w:rsidP="00587A6B">
      <w:pPr>
        <w:rPr>
          <w:sz w:val="32"/>
          <w:szCs w:val="32"/>
        </w:rPr>
      </w:pPr>
      <w:r w:rsidRPr="00BC4148">
        <w:rPr>
          <w:sz w:val="32"/>
          <w:szCs w:val="32"/>
          <w:highlight w:val="cyan"/>
        </w:rPr>
        <w:t>§3</w:t>
      </w:r>
      <w:r w:rsidR="00AB56AF" w:rsidRPr="00BC4148">
        <w:rPr>
          <w:sz w:val="32"/>
          <w:szCs w:val="32"/>
          <w:highlight w:val="cyan"/>
        </w:rPr>
        <w:t xml:space="preserve"> Les nouveaux processus d’exécution</w:t>
      </w:r>
    </w:p>
    <w:p w:rsidR="00AB56AF" w:rsidRPr="00423D96" w:rsidRDefault="00AB56AF" w:rsidP="00AB56AF">
      <w:pPr>
        <w:pStyle w:val="Paragraphedeliste"/>
        <w:numPr>
          <w:ilvl w:val="0"/>
          <w:numId w:val="5"/>
        </w:numPr>
        <w:rPr>
          <w:sz w:val="32"/>
          <w:szCs w:val="32"/>
        </w:rPr>
      </w:pPr>
      <w:r w:rsidRPr="00423D96">
        <w:rPr>
          <w:sz w:val="32"/>
          <w:szCs w:val="32"/>
        </w:rPr>
        <w:t>Les centres de service partagés</w:t>
      </w:r>
    </w:p>
    <w:p w:rsidR="00AB56AF" w:rsidRDefault="00AB56AF" w:rsidP="00AB56AF">
      <w:pPr>
        <w:pStyle w:val="Paragraphedeliste"/>
        <w:numPr>
          <w:ilvl w:val="0"/>
          <w:numId w:val="5"/>
        </w:numPr>
        <w:rPr>
          <w:sz w:val="32"/>
          <w:szCs w:val="32"/>
        </w:rPr>
      </w:pPr>
      <w:r w:rsidRPr="00423D96">
        <w:rPr>
          <w:sz w:val="32"/>
          <w:szCs w:val="32"/>
        </w:rPr>
        <w:t>Les services facturiers</w:t>
      </w:r>
    </w:p>
    <w:p w:rsidR="00423D96" w:rsidRPr="00423D96" w:rsidRDefault="00423D96" w:rsidP="00423D96">
      <w:pPr>
        <w:pStyle w:val="Paragraphedeliste"/>
        <w:rPr>
          <w:sz w:val="32"/>
          <w:szCs w:val="32"/>
        </w:rPr>
      </w:pPr>
    </w:p>
    <w:p w:rsidR="00AB56AF" w:rsidRPr="00423D96" w:rsidRDefault="00AB56AF" w:rsidP="00AB56AF">
      <w:pPr>
        <w:rPr>
          <w:sz w:val="32"/>
          <w:szCs w:val="32"/>
          <w:u w:val="single"/>
        </w:rPr>
      </w:pPr>
      <w:r w:rsidRPr="00BC4148">
        <w:rPr>
          <w:sz w:val="32"/>
          <w:szCs w:val="32"/>
          <w:highlight w:val="yellow"/>
          <w:u w:val="single"/>
        </w:rPr>
        <w:t>B/ La perception des recettes de l’État</w:t>
      </w:r>
    </w:p>
    <w:p w:rsidR="00AB56AF" w:rsidRPr="00423D96" w:rsidRDefault="00AB56AF" w:rsidP="00AB56AF">
      <w:pPr>
        <w:rPr>
          <w:sz w:val="32"/>
          <w:szCs w:val="32"/>
        </w:rPr>
      </w:pPr>
      <w:r w:rsidRPr="00423D96">
        <w:rPr>
          <w:sz w:val="32"/>
          <w:szCs w:val="32"/>
        </w:rPr>
        <w:t>§1 La perception de l’IR</w:t>
      </w:r>
    </w:p>
    <w:p w:rsidR="00AB56AF" w:rsidRPr="00423D96" w:rsidRDefault="00AB56AF" w:rsidP="00AB56AF">
      <w:pPr>
        <w:rPr>
          <w:sz w:val="32"/>
          <w:szCs w:val="32"/>
        </w:rPr>
      </w:pPr>
      <w:r w:rsidRPr="00423D96">
        <w:rPr>
          <w:sz w:val="32"/>
          <w:szCs w:val="32"/>
        </w:rPr>
        <w:t xml:space="preserve">§ 2 La perception des autres recettes </w:t>
      </w:r>
    </w:p>
    <w:p w:rsidR="00AB56AF" w:rsidRDefault="00AB56AF" w:rsidP="00AB56AF"/>
    <w:p w:rsidR="00AB56AF" w:rsidRDefault="00AB56AF" w:rsidP="00AB56AF"/>
    <w:p w:rsidR="00DA3FED" w:rsidRDefault="00DA3FED" w:rsidP="00AB56AF">
      <w:pPr>
        <w:rPr>
          <w:b/>
          <w:bCs/>
          <w:sz w:val="40"/>
          <w:szCs w:val="40"/>
        </w:rPr>
      </w:pPr>
    </w:p>
    <w:p w:rsidR="00DA3FED" w:rsidRDefault="00DA3FED" w:rsidP="00AB56AF">
      <w:pPr>
        <w:rPr>
          <w:b/>
          <w:bCs/>
          <w:sz w:val="40"/>
          <w:szCs w:val="40"/>
        </w:rPr>
      </w:pPr>
    </w:p>
    <w:p w:rsidR="00DA3FED" w:rsidRDefault="00DA3FED" w:rsidP="00AB56AF">
      <w:pPr>
        <w:rPr>
          <w:b/>
          <w:bCs/>
          <w:sz w:val="40"/>
          <w:szCs w:val="40"/>
        </w:rPr>
      </w:pPr>
    </w:p>
    <w:p w:rsidR="00DA3FED" w:rsidRDefault="00DA3FED" w:rsidP="00AB56AF">
      <w:pPr>
        <w:rPr>
          <w:b/>
          <w:bCs/>
          <w:sz w:val="40"/>
          <w:szCs w:val="40"/>
        </w:rPr>
      </w:pPr>
    </w:p>
    <w:p w:rsidR="00DA3FED" w:rsidRDefault="00DA3FED" w:rsidP="00AB56AF">
      <w:pPr>
        <w:rPr>
          <w:b/>
          <w:bCs/>
          <w:sz w:val="40"/>
          <w:szCs w:val="40"/>
        </w:rPr>
      </w:pPr>
    </w:p>
    <w:p w:rsidR="00DA3FED" w:rsidRDefault="00DA3FED" w:rsidP="00AB56AF">
      <w:pPr>
        <w:rPr>
          <w:b/>
          <w:bCs/>
          <w:sz w:val="40"/>
          <w:szCs w:val="40"/>
        </w:rPr>
      </w:pPr>
    </w:p>
    <w:p w:rsidR="00DA3FED" w:rsidRDefault="00DA3FED" w:rsidP="00AB56AF">
      <w:pPr>
        <w:rPr>
          <w:b/>
          <w:bCs/>
          <w:sz w:val="40"/>
          <w:szCs w:val="40"/>
        </w:rPr>
      </w:pPr>
    </w:p>
    <w:p w:rsidR="00DA3FED" w:rsidRDefault="00DA3FED" w:rsidP="00AB56AF">
      <w:pPr>
        <w:rPr>
          <w:b/>
          <w:bCs/>
          <w:sz w:val="40"/>
          <w:szCs w:val="40"/>
        </w:rPr>
      </w:pPr>
    </w:p>
    <w:p w:rsidR="00423D96" w:rsidRPr="00BC4148" w:rsidRDefault="00423D96" w:rsidP="00AB56AF">
      <w:pPr>
        <w:rPr>
          <w:b/>
          <w:bCs/>
          <w:sz w:val="40"/>
          <w:szCs w:val="40"/>
          <w:highlight w:val="red"/>
        </w:rPr>
      </w:pPr>
      <w:r w:rsidRPr="00BC4148">
        <w:rPr>
          <w:b/>
          <w:bCs/>
          <w:sz w:val="40"/>
          <w:szCs w:val="40"/>
          <w:highlight w:val="red"/>
        </w:rPr>
        <w:t xml:space="preserve">CHAPITRE SECOND : </w:t>
      </w:r>
    </w:p>
    <w:p w:rsidR="00AB56AF" w:rsidRPr="00423D96" w:rsidRDefault="00423D96" w:rsidP="00AB56AF">
      <w:pPr>
        <w:rPr>
          <w:b/>
          <w:bCs/>
          <w:sz w:val="40"/>
          <w:szCs w:val="40"/>
        </w:rPr>
      </w:pPr>
      <w:r w:rsidRPr="00BC4148">
        <w:rPr>
          <w:b/>
          <w:bCs/>
          <w:sz w:val="40"/>
          <w:szCs w:val="40"/>
          <w:highlight w:val="red"/>
        </w:rPr>
        <w:t>LE CONTRÔLE DE</w:t>
      </w:r>
      <w:r w:rsidR="00DA3FED" w:rsidRPr="00BC4148">
        <w:rPr>
          <w:b/>
          <w:bCs/>
          <w:sz w:val="40"/>
          <w:szCs w:val="40"/>
          <w:highlight w:val="red"/>
        </w:rPr>
        <w:t xml:space="preserve"> L’EXÉCUTION DES LOIS DE FINANCES</w:t>
      </w:r>
    </w:p>
    <w:p w:rsidR="00587A6B" w:rsidRDefault="00587A6B" w:rsidP="00587A6B"/>
    <w:p w:rsidR="00587A6B" w:rsidRDefault="00423D96" w:rsidP="00587A6B">
      <w:r>
        <w:t xml:space="preserve">INTRODUCTION : </w:t>
      </w:r>
    </w:p>
    <w:p w:rsidR="00423D96" w:rsidRDefault="00423D96" w:rsidP="00587A6B"/>
    <w:p w:rsidR="00423D96" w:rsidRDefault="00423D96" w:rsidP="00587A6B">
      <w:r>
        <w:t xml:space="preserve">Les fondements des contrôles </w:t>
      </w:r>
    </w:p>
    <w:p w:rsidR="00423D96" w:rsidRDefault="00423D96" w:rsidP="00587A6B">
      <w:r>
        <w:t>Article XV DDHC 1789</w:t>
      </w:r>
    </w:p>
    <w:p w:rsidR="004F113E" w:rsidRDefault="00423D96" w:rsidP="00587A6B">
      <w:r>
        <w:t xml:space="preserve">LOLF articles 37 s sur la Loi de R, </w:t>
      </w:r>
    </w:p>
    <w:p w:rsidR="004F113E" w:rsidRDefault="00423D96" w:rsidP="00587A6B">
      <w:r>
        <w:t xml:space="preserve">57 sur les commissions des Finances, </w:t>
      </w:r>
    </w:p>
    <w:p w:rsidR="00423D96" w:rsidRDefault="00423D96" w:rsidP="00587A6B">
      <w:r>
        <w:t xml:space="preserve">58 sur la Cour des comptes </w:t>
      </w:r>
    </w:p>
    <w:p w:rsidR="00423D96" w:rsidRDefault="00423D96" w:rsidP="00587A6B">
      <w:proofErr w:type="gramStart"/>
      <w:r>
        <w:t>et</w:t>
      </w:r>
      <w:proofErr w:type="gramEnd"/>
      <w:r>
        <w:t xml:space="preserve"> 59-60 sur la MEC</w:t>
      </w:r>
    </w:p>
    <w:p w:rsidR="00423D96" w:rsidRDefault="00423D96" w:rsidP="00587A6B"/>
    <w:p w:rsidR="00423D96" w:rsidRDefault="00423D96" w:rsidP="00587A6B">
      <w:r>
        <w:t xml:space="preserve">On sait qu’il existe des </w:t>
      </w:r>
      <w:r w:rsidRPr="00CB5791">
        <w:rPr>
          <w:u w:val="single"/>
        </w:rPr>
        <w:t>contrôles internes</w:t>
      </w:r>
      <w:r>
        <w:t xml:space="preserve"> exercés par l’administration sur sa propre activité</w:t>
      </w:r>
    </w:p>
    <w:p w:rsidR="00423D96" w:rsidRDefault="00423D96" w:rsidP="00587A6B">
      <w:r>
        <w:t>Contrôles ministériels : ce sont les inspections générales propres à chaque ministère</w:t>
      </w:r>
    </w:p>
    <w:p w:rsidR="00423D96" w:rsidRDefault="00423D96" w:rsidP="00587A6B">
      <w:r>
        <w:t>IGAS</w:t>
      </w:r>
    </w:p>
    <w:p w:rsidR="00423D96" w:rsidRDefault="00423D96" w:rsidP="00587A6B">
      <w:r>
        <w:t>IGA</w:t>
      </w:r>
    </w:p>
    <w:p w:rsidR="00423D96" w:rsidRDefault="00423D96" w:rsidP="00587A6B">
      <w:r>
        <w:t>IGEN</w:t>
      </w:r>
    </w:p>
    <w:p w:rsidR="00423D96" w:rsidRDefault="00423D96" w:rsidP="00587A6B">
      <w:r>
        <w:t>Contrôle général des armées</w:t>
      </w:r>
    </w:p>
    <w:p w:rsidR="00CB5791" w:rsidRDefault="00CB5791" w:rsidP="00587A6B">
      <w:r>
        <w:t>Le contrôle interne ou audit interne ministériel</w:t>
      </w:r>
    </w:p>
    <w:p w:rsidR="00423D96" w:rsidRDefault="00423D96" w:rsidP="00587A6B"/>
    <w:p w:rsidR="00423D96" w:rsidRDefault="00423D96" w:rsidP="00587A6B">
      <w:r>
        <w:t>On trouve aussi des contrôles financiers transversaux relevant du ministère des Finances</w:t>
      </w:r>
    </w:p>
    <w:p w:rsidR="00423D96" w:rsidRDefault="00423D96" w:rsidP="00587A6B">
      <w:r>
        <w:t>IGF</w:t>
      </w:r>
    </w:p>
    <w:p w:rsidR="00CB5791" w:rsidRDefault="00CB5791" w:rsidP="00587A6B">
      <w:r>
        <w:t>CBCM relevant de la Direction du Budget</w:t>
      </w:r>
    </w:p>
    <w:p w:rsidR="00CB5791" w:rsidRDefault="00CB5791" w:rsidP="00587A6B">
      <w:r>
        <w:t>Contrôle général économique et financier sur les opérateurs et établissements publics</w:t>
      </w:r>
    </w:p>
    <w:p w:rsidR="00CB5791" w:rsidRDefault="00CB5791" w:rsidP="00587A6B"/>
    <w:p w:rsidR="00CB5791" w:rsidRDefault="00CB5791" w:rsidP="00587A6B">
      <w:r>
        <w:t>Mais tous ces contrôles ne remplacent pas le contrôle externe dans lequel il existe une séparation stricte entre le contrôleur et le contrôlé</w:t>
      </w:r>
    </w:p>
    <w:p w:rsidR="00CB5791" w:rsidRDefault="00CB5791" w:rsidP="00587A6B"/>
    <w:p w:rsidR="00CB5791" w:rsidRDefault="00CB5791" w:rsidP="00587A6B">
      <w:r>
        <w:t>Section 1 Le contrôle parlementaire</w:t>
      </w:r>
    </w:p>
    <w:p w:rsidR="00294F79" w:rsidRDefault="00A830E1" w:rsidP="00587A6B">
      <w:r>
        <w:lastRenderedPageBreak/>
        <w:t>Section 2 Le contrôle de la Cour des comptes</w:t>
      </w:r>
    </w:p>
    <w:p w:rsidR="00CB5791" w:rsidRDefault="00CB5791" w:rsidP="00587A6B"/>
    <w:p w:rsidR="00CB5791" w:rsidRPr="00A830E1" w:rsidRDefault="00CB5791" w:rsidP="00CB5791">
      <w:pPr>
        <w:rPr>
          <w:b/>
          <w:bCs/>
          <w:sz w:val="48"/>
          <w:szCs w:val="48"/>
          <w:u w:val="single"/>
        </w:rPr>
      </w:pPr>
      <w:r w:rsidRPr="00BC4148">
        <w:rPr>
          <w:b/>
          <w:bCs/>
          <w:sz w:val="48"/>
          <w:szCs w:val="48"/>
          <w:highlight w:val="green"/>
          <w:u w:val="single"/>
        </w:rPr>
        <w:t>Section 1 Le contrôle parlementaire :</w:t>
      </w:r>
      <w:r w:rsidRPr="00A830E1">
        <w:rPr>
          <w:b/>
          <w:bCs/>
          <w:sz w:val="48"/>
          <w:szCs w:val="48"/>
          <w:u w:val="single"/>
        </w:rPr>
        <w:t xml:space="preserve"> </w:t>
      </w:r>
    </w:p>
    <w:p w:rsidR="00CB5791" w:rsidRDefault="00CB5791" w:rsidP="00CB5791"/>
    <w:p w:rsidR="00CB5791" w:rsidRPr="00294F79" w:rsidRDefault="00CB5791" w:rsidP="00CB5791">
      <w:pPr>
        <w:rPr>
          <w:u w:val="single"/>
        </w:rPr>
      </w:pPr>
      <w:r w:rsidRPr="00BC4148">
        <w:rPr>
          <w:highlight w:val="yellow"/>
          <w:u w:val="single"/>
        </w:rPr>
        <w:t>A/ L’attribution d’une compétence générale de contrôle aux commissions permanentes</w:t>
      </w:r>
      <w:r w:rsidRPr="00294F79">
        <w:rPr>
          <w:u w:val="single"/>
        </w:rPr>
        <w:t xml:space="preserve"> </w:t>
      </w:r>
    </w:p>
    <w:p w:rsidR="00CB5791" w:rsidRDefault="00CB5791" w:rsidP="00CB5791"/>
    <w:p w:rsidR="00CB5791" w:rsidRPr="00BC4148" w:rsidRDefault="00CB5791" w:rsidP="00CB5791">
      <w:pPr>
        <w:rPr>
          <w:highlight w:val="cyan"/>
        </w:rPr>
      </w:pPr>
      <w:r w:rsidRPr="00BC4148">
        <w:rPr>
          <w:highlight w:val="cyan"/>
        </w:rPr>
        <w:t>§1 Les questionnaires budgétaires article 49</w:t>
      </w:r>
    </w:p>
    <w:p w:rsidR="00294F79" w:rsidRPr="00BC4148" w:rsidRDefault="00294F79" w:rsidP="00CB5791">
      <w:pPr>
        <w:rPr>
          <w:highlight w:val="cyan"/>
        </w:rPr>
      </w:pPr>
    </w:p>
    <w:p w:rsidR="00CB5791" w:rsidRDefault="00CB5791" w:rsidP="00CB5791">
      <w:r w:rsidRPr="00BC4148">
        <w:rPr>
          <w:highlight w:val="cyan"/>
        </w:rPr>
        <w:t>§2 Le pouvoir de contrôle attribué aux commissions des Finances</w:t>
      </w:r>
      <w:r>
        <w:t xml:space="preserve"> </w:t>
      </w:r>
    </w:p>
    <w:p w:rsidR="00A830E1" w:rsidRDefault="00A830E1" w:rsidP="00A830E1"/>
    <w:p w:rsidR="00A830E1" w:rsidRDefault="00A830E1" w:rsidP="00A830E1">
      <w:r>
        <w:t>La commission des Finances de l’Assemblée</w:t>
      </w:r>
    </w:p>
    <w:p w:rsidR="00A830E1" w:rsidRPr="00A830E1" w:rsidRDefault="00A830E1" w:rsidP="00A830E1">
      <w:r w:rsidRPr="00A830E1">
        <w:t>Président Éric WOERTH (LR) nommé a</w:t>
      </w:r>
      <w:r>
        <w:t>u sein de l’opposition depuis 2007</w:t>
      </w:r>
    </w:p>
    <w:p w:rsidR="00A830E1" w:rsidRDefault="00A830E1" w:rsidP="00A830E1">
      <w:r>
        <w:t xml:space="preserve">Rapporteur général </w:t>
      </w:r>
      <w:r w:rsidR="00AB4422">
        <w:t xml:space="preserve">Laurent </w:t>
      </w:r>
      <w:proofErr w:type="spellStart"/>
      <w:r w:rsidR="00AB4422">
        <w:t>Saint-MARTIN</w:t>
      </w:r>
      <w:proofErr w:type="spellEnd"/>
      <w:r w:rsidR="00AB4422">
        <w:t xml:space="preserve"> qui est LREM </w:t>
      </w:r>
    </w:p>
    <w:p w:rsidR="00A830E1" w:rsidRDefault="00A830E1" w:rsidP="00A830E1"/>
    <w:p w:rsidR="00A830E1" w:rsidRDefault="00A830E1" w:rsidP="00A830E1">
      <w:r>
        <w:t>La commission des Finances du Sénat nommé au sein de l’opposition depuis 2011</w:t>
      </w:r>
    </w:p>
    <w:p w:rsidR="00A830E1" w:rsidRDefault="00A830E1" w:rsidP="00A830E1">
      <w:r>
        <w:t>Président Vincent ÉBLÉ (PS)</w:t>
      </w:r>
    </w:p>
    <w:p w:rsidR="00A830E1" w:rsidRDefault="00A830E1" w:rsidP="00A830E1">
      <w:r>
        <w:t>Rapporteur général Jean-François HUSSON (LR)</w:t>
      </w:r>
    </w:p>
    <w:p w:rsidR="00CB5791" w:rsidRDefault="00CB5791" w:rsidP="00CB5791"/>
    <w:p w:rsidR="004F113E" w:rsidRDefault="004F113E" w:rsidP="00CB5791"/>
    <w:p w:rsidR="004F113E" w:rsidRDefault="004F113E" w:rsidP="00CB5791"/>
    <w:p w:rsidR="00CB5791" w:rsidRPr="00294F79" w:rsidRDefault="00CB5791" w:rsidP="00CB5791">
      <w:pPr>
        <w:rPr>
          <w:u w:val="single"/>
        </w:rPr>
      </w:pPr>
      <w:r w:rsidRPr="00BC4148">
        <w:rPr>
          <w:highlight w:val="yellow"/>
          <w:u w:val="single"/>
        </w:rPr>
        <w:t>B/ L</w:t>
      </w:r>
      <w:r w:rsidR="00294F79" w:rsidRPr="00BC4148">
        <w:rPr>
          <w:highlight w:val="yellow"/>
          <w:u w:val="single"/>
        </w:rPr>
        <w:t>a LOLF a cherché à accroître les moyens de contrôle</w:t>
      </w:r>
    </w:p>
    <w:p w:rsidR="00CB5791" w:rsidRDefault="00CB5791" w:rsidP="00CB5791"/>
    <w:p w:rsidR="00CB5791" w:rsidRDefault="00CB5791" w:rsidP="00CB5791">
      <w:pPr>
        <w:rPr>
          <w:highlight w:val="cyan"/>
        </w:rPr>
      </w:pPr>
      <w:r w:rsidRPr="00BC4148">
        <w:rPr>
          <w:highlight w:val="cyan"/>
        </w:rPr>
        <w:t xml:space="preserve">§1 Le vote de la Loi de Règlement n’a pas occasionné </w:t>
      </w:r>
      <w:r w:rsidR="00294F79" w:rsidRPr="00BC4148">
        <w:rPr>
          <w:highlight w:val="cyan"/>
        </w:rPr>
        <w:t>de Révolution parlementaire</w:t>
      </w:r>
    </w:p>
    <w:p w:rsidR="00BC4148" w:rsidRDefault="00BC4148" w:rsidP="00CB5791">
      <w:pPr>
        <w:rPr>
          <w:highlight w:val="cyan"/>
        </w:rPr>
      </w:pPr>
    </w:p>
    <w:p w:rsidR="00BC4148" w:rsidRDefault="00BC4148" w:rsidP="00BC4148">
      <w:pPr>
        <w:pStyle w:val="Paragraphedeliste"/>
        <w:numPr>
          <w:ilvl w:val="0"/>
          <w:numId w:val="6"/>
        </w:numPr>
        <w:rPr>
          <w:highlight w:val="lightGray"/>
        </w:rPr>
      </w:pPr>
      <w:r w:rsidRPr="00BC4148">
        <w:rPr>
          <w:highlight w:val="lightGray"/>
        </w:rPr>
        <w:t>La théorie :</w:t>
      </w:r>
      <w:r w:rsidR="00C11FA6">
        <w:rPr>
          <w:highlight w:val="lightGray"/>
        </w:rPr>
        <w:t xml:space="preserve"> c’est le calendrier vertueux qui valorise la discussion et le vote de La Loi de Règlement à cause des résultats de la performance des différents services de l’État (RAP)</w:t>
      </w:r>
    </w:p>
    <w:p w:rsidR="00BC4148" w:rsidRPr="00BC4148" w:rsidRDefault="00BC4148" w:rsidP="00BC4148">
      <w:pPr>
        <w:pStyle w:val="Paragraphedeliste"/>
        <w:rPr>
          <w:highlight w:val="lightGray"/>
        </w:rPr>
      </w:pPr>
    </w:p>
    <w:p w:rsidR="00BC4148" w:rsidRPr="00BC4148" w:rsidRDefault="00BC4148" w:rsidP="00BC4148">
      <w:pPr>
        <w:pStyle w:val="Paragraphedeliste"/>
        <w:numPr>
          <w:ilvl w:val="0"/>
          <w:numId w:val="6"/>
        </w:numPr>
        <w:rPr>
          <w:highlight w:val="lightGray"/>
        </w:rPr>
      </w:pPr>
      <w:r w:rsidRPr="00BC4148">
        <w:rPr>
          <w:highlight w:val="lightGray"/>
        </w:rPr>
        <w:t>La pratique</w:t>
      </w:r>
      <w:r>
        <w:rPr>
          <w:highlight w:val="lightGray"/>
        </w:rPr>
        <w:t> :</w:t>
      </w:r>
      <w:r w:rsidR="00C11FA6">
        <w:rPr>
          <w:highlight w:val="lightGray"/>
        </w:rPr>
        <w:t xml:space="preserve"> c’est un moment que les parlementaires désertent car c’est le mois de juillet et que les journalistes sont absents alors que le débat de l’automne est beaucoup plus médiatisé</w:t>
      </w:r>
    </w:p>
    <w:p w:rsidR="00BC4148" w:rsidRPr="00BC4148" w:rsidRDefault="00BC4148" w:rsidP="00CB5791">
      <w:pPr>
        <w:rPr>
          <w:highlight w:val="cyan"/>
        </w:rPr>
      </w:pPr>
    </w:p>
    <w:p w:rsidR="00294F79" w:rsidRDefault="00294F79" w:rsidP="00CB5791">
      <w:r w:rsidRPr="00BC4148">
        <w:rPr>
          <w:highlight w:val="cyan"/>
        </w:rPr>
        <w:t>§2 Les MEC</w:t>
      </w:r>
      <w:r w:rsidR="00BC4148" w:rsidRPr="00BC4148">
        <w:rPr>
          <w:highlight w:val="cyan"/>
        </w:rPr>
        <w:t xml:space="preserve"> ou missions d’évaluations et de contrôle</w:t>
      </w:r>
    </w:p>
    <w:p w:rsidR="00C11FA6" w:rsidRDefault="00C11FA6" w:rsidP="00CB5791">
      <w:r>
        <w:t>C’est une pratique instituée à partir de 1999 (février) et ces missions ont toujours été pilotées par la majorité et l’opposition</w:t>
      </w:r>
    </w:p>
    <w:p w:rsidR="00C11FA6" w:rsidRDefault="00C11FA6" w:rsidP="00CB5791"/>
    <w:p w:rsidR="00C11FA6" w:rsidRDefault="00C11FA6" w:rsidP="00CB5791"/>
    <w:p w:rsidR="00294F79" w:rsidRDefault="00294F79" w:rsidP="00CB5791">
      <w:r>
        <w:t xml:space="preserve">Le printemps de l’évaluation </w:t>
      </w:r>
      <w:r w:rsidR="00BC4148">
        <w:t>depuis juin</w:t>
      </w:r>
      <w:r>
        <w:t xml:space="preserve"> 2018 avait pour projet de créer une Agence Parlementaire d’évaluation </w:t>
      </w:r>
    </w:p>
    <w:p w:rsidR="00294F79" w:rsidRDefault="00CA62B3" w:rsidP="00BC4148">
      <w:pPr>
        <w:jc w:val="both"/>
      </w:pPr>
      <w:hyperlink r:id="rId7" w:history="1">
        <w:r w:rsidR="00294F79" w:rsidRPr="0048622D">
          <w:rPr>
            <w:rStyle w:val="Lienhypertexte"/>
          </w:rPr>
          <w:t>https://www.lafinancepourtous.com/2018/07/06/printemps-de-levaluation-levaluation-des-politiques-publiques-au-parlement/</w:t>
        </w:r>
      </w:hyperlink>
    </w:p>
    <w:p w:rsidR="00294F79" w:rsidRDefault="00294F79" w:rsidP="00CB5791"/>
    <w:p w:rsidR="00294F79" w:rsidRDefault="00CA62B3" w:rsidP="00CB5791">
      <w:pPr>
        <w:rPr>
          <w:rStyle w:val="Lienhypertexte"/>
        </w:rPr>
      </w:pPr>
      <w:hyperlink r:id="rId8" w:history="1">
        <w:r w:rsidR="00294F79" w:rsidRPr="0048622D">
          <w:rPr>
            <w:rStyle w:val="Lienhypertexte"/>
          </w:rPr>
          <w:t>http://printempsdelevaluation.fr/wp-content/uploads/2018/06/Livret.pdf</w:t>
        </w:r>
      </w:hyperlink>
    </w:p>
    <w:p w:rsidR="00BC4148" w:rsidRDefault="00BC4148" w:rsidP="00CB5791">
      <w:pPr>
        <w:rPr>
          <w:rStyle w:val="Lienhypertexte"/>
        </w:rPr>
      </w:pPr>
    </w:p>
    <w:p w:rsidR="00BC4148" w:rsidRDefault="00CA62B3" w:rsidP="00CB5791">
      <w:hyperlink r:id="rId9" w:history="1">
        <w:r w:rsidR="00BC4148" w:rsidRPr="00F07C20">
          <w:rPr>
            <w:rStyle w:val="Lienhypertexte"/>
          </w:rPr>
          <w:t>http://www2.assemblee-nationale.fr/15/commissions-permanentes/commission-des-finances/printemps-de-l-evaluation/printemps-de-l-evaluation-edition-2020/(block)/67696</w:t>
        </w:r>
      </w:hyperlink>
    </w:p>
    <w:p w:rsidR="00BC4148" w:rsidRDefault="00BC4148" w:rsidP="00CB5791"/>
    <w:p w:rsidR="00294F79" w:rsidRDefault="00294F79" w:rsidP="00CB5791"/>
    <w:p w:rsidR="00294F79" w:rsidRDefault="00294F79" w:rsidP="00BC4148">
      <w:pPr>
        <w:jc w:val="both"/>
      </w:pPr>
      <w:r>
        <w:t xml:space="preserve">Rien n’a été créé car le </w:t>
      </w:r>
      <w:proofErr w:type="spellStart"/>
      <w:r w:rsidRPr="00DA3FED">
        <w:rPr>
          <w:i/>
          <w:iCs/>
        </w:rPr>
        <w:t>Congressional</w:t>
      </w:r>
      <w:proofErr w:type="spellEnd"/>
      <w:r w:rsidRPr="00DA3FED">
        <w:rPr>
          <w:i/>
          <w:iCs/>
        </w:rPr>
        <w:t xml:space="preserve"> Budget Office</w:t>
      </w:r>
      <w:r>
        <w:t xml:space="preserve"> comporte autant de personnel que la Direction du Budget ce qui permet au Congrès américain de contredire point par point les calculs des services présidentiels. </w:t>
      </w:r>
    </w:p>
    <w:p w:rsidR="00A830E1" w:rsidRDefault="00A830E1" w:rsidP="00CB5791"/>
    <w:p w:rsidR="00A830E1" w:rsidRDefault="00A830E1" w:rsidP="00CB5791">
      <w:r>
        <w:lastRenderedPageBreak/>
        <w:t>Donc le parlement sollicite les services d’une juridiction indépendante : La Cour des comptes</w:t>
      </w:r>
      <w:r w:rsidR="00BC4148">
        <w:t>. C’est notre transition pour passer du Parlement à la Cour des comptes.</w:t>
      </w:r>
    </w:p>
    <w:p w:rsidR="00294F79" w:rsidRDefault="00294F79" w:rsidP="00CB5791"/>
    <w:p w:rsidR="00CB5791" w:rsidRPr="00A830E1" w:rsidRDefault="00CB5791" w:rsidP="00CB5791">
      <w:pPr>
        <w:rPr>
          <w:b/>
          <w:bCs/>
          <w:sz w:val="48"/>
          <w:szCs w:val="48"/>
          <w:u w:val="single"/>
        </w:rPr>
      </w:pPr>
      <w:r w:rsidRPr="00BC4148">
        <w:rPr>
          <w:b/>
          <w:bCs/>
          <w:sz w:val="48"/>
          <w:szCs w:val="48"/>
          <w:highlight w:val="green"/>
          <w:u w:val="single"/>
        </w:rPr>
        <w:t>Section 2 Le</w:t>
      </w:r>
      <w:r w:rsidR="00A830E1" w:rsidRPr="00BC4148">
        <w:rPr>
          <w:b/>
          <w:bCs/>
          <w:sz w:val="48"/>
          <w:szCs w:val="48"/>
          <w:highlight w:val="green"/>
          <w:u w:val="single"/>
        </w:rPr>
        <w:t>s missions</w:t>
      </w:r>
      <w:r w:rsidRPr="00BC4148">
        <w:rPr>
          <w:b/>
          <w:bCs/>
          <w:sz w:val="48"/>
          <w:szCs w:val="48"/>
          <w:highlight w:val="green"/>
          <w:u w:val="single"/>
        </w:rPr>
        <w:t xml:space="preserve"> de la Cour des comptes</w:t>
      </w:r>
    </w:p>
    <w:p w:rsidR="00A830E1" w:rsidRDefault="00A830E1" w:rsidP="00CB5791"/>
    <w:p w:rsidR="00A830E1" w:rsidRDefault="00A830E1" w:rsidP="00CB5791">
      <w:r>
        <w:t xml:space="preserve">Présentation générale de la Cour des comptes </w:t>
      </w:r>
    </w:p>
    <w:p w:rsidR="00A830E1" w:rsidRDefault="00A830E1" w:rsidP="00CB5791">
      <w:r>
        <w:t>Création par Napoléon Loi du 16 septembre 1807</w:t>
      </w:r>
    </w:p>
    <w:p w:rsidR="00A830E1" w:rsidRDefault="00A830E1" w:rsidP="00CB5791">
      <w:r>
        <w:t>Ajout de l’article 47-2 dans la Constitution par la révision constitutionnelle de 2008</w:t>
      </w:r>
    </w:p>
    <w:p w:rsidR="00A830E1" w:rsidRDefault="00A830E1" w:rsidP="00CB5791"/>
    <w:p w:rsidR="00A830E1" w:rsidRDefault="00A830E1" w:rsidP="00CB5791">
      <w:r>
        <w:t>La Cour exerce 4 grandes compétences : juger-contrôler-certifier-évaluer</w:t>
      </w:r>
    </w:p>
    <w:p w:rsidR="00A830E1" w:rsidRDefault="00A830E1" w:rsidP="00CB5791">
      <w:r>
        <w:t>Les deux premières sont traditionnelles – les deux dernières plus modernes</w:t>
      </w:r>
    </w:p>
    <w:p w:rsidR="00BC4148" w:rsidRDefault="00BC4148" w:rsidP="00CB5791"/>
    <w:p w:rsidR="00BC4148" w:rsidRDefault="00BC4148" w:rsidP="00CB5791">
      <w:r w:rsidRPr="00BC4148">
        <w:rPr>
          <w:highlight w:val="yellow"/>
        </w:rPr>
        <w:t>Sous-Section 1 : les missions traditionnelles</w:t>
      </w:r>
    </w:p>
    <w:p w:rsidR="00A830E1" w:rsidRDefault="00A830E1" w:rsidP="00CB5791"/>
    <w:p w:rsidR="00A830E1" w:rsidRDefault="00A830E1" w:rsidP="00CB5791">
      <w:r w:rsidRPr="00BC4148">
        <w:rPr>
          <w:highlight w:val="cyan"/>
        </w:rPr>
        <w:t>A/ Le jugement des comptes des comptables publics</w:t>
      </w:r>
    </w:p>
    <w:p w:rsidR="00A830E1" w:rsidRDefault="00A830E1" w:rsidP="00CB5791"/>
    <w:p w:rsidR="00A830E1" w:rsidRDefault="00A830E1" w:rsidP="00CB5791">
      <w:r>
        <w:t>§1 Compétence</w:t>
      </w:r>
    </w:p>
    <w:p w:rsidR="00A830E1" w:rsidRDefault="00A830E1" w:rsidP="00CB5791">
      <w:r>
        <w:t>§2 Procédure</w:t>
      </w:r>
    </w:p>
    <w:p w:rsidR="00A830E1" w:rsidRDefault="00A830E1" w:rsidP="00CB5791"/>
    <w:p w:rsidR="00A830E1" w:rsidRDefault="00A830E1" w:rsidP="00CB5791">
      <w:r w:rsidRPr="00BC4148">
        <w:rPr>
          <w:highlight w:val="cyan"/>
        </w:rPr>
        <w:t>B/ Le contrôle de la gestion des administrations</w:t>
      </w:r>
    </w:p>
    <w:p w:rsidR="00A830E1" w:rsidRDefault="00A830E1" w:rsidP="00CB5791"/>
    <w:p w:rsidR="00A830E1" w:rsidRDefault="00A830E1" w:rsidP="00CB5791">
      <w:r>
        <w:t>§1 nature et étendue du contrôle</w:t>
      </w:r>
    </w:p>
    <w:p w:rsidR="00A830E1" w:rsidRDefault="00A830E1" w:rsidP="00CB5791">
      <w:r>
        <w:t xml:space="preserve">§2 </w:t>
      </w:r>
      <w:proofErr w:type="gramStart"/>
      <w:r>
        <w:t>portée</w:t>
      </w:r>
      <w:proofErr w:type="gramEnd"/>
      <w:r>
        <w:t xml:space="preserve"> du contrôle</w:t>
      </w:r>
    </w:p>
    <w:p w:rsidR="00BC4148" w:rsidRDefault="00BC4148" w:rsidP="00CB5791"/>
    <w:p w:rsidR="00BC4148" w:rsidRDefault="00BC4148" w:rsidP="00CB5791"/>
    <w:p w:rsidR="00BC4148" w:rsidRDefault="00BC4148" w:rsidP="00CB5791"/>
    <w:p w:rsidR="00BC4148" w:rsidRDefault="00BC4148" w:rsidP="00CB5791">
      <w:r w:rsidRPr="00BC4148">
        <w:rPr>
          <w:highlight w:val="yellow"/>
        </w:rPr>
        <w:t>Sous-Section 2 : Les missions modernes :</w:t>
      </w:r>
    </w:p>
    <w:p w:rsidR="00BC4148" w:rsidRDefault="00BC4148" w:rsidP="00CB5791"/>
    <w:p w:rsidR="00A830E1" w:rsidRDefault="00BC4148" w:rsidP="00CB5791">
      <w:r w:rsidRPr="00BC4148">
        <w:rPr>
          <w:highlight w:val="cyan"/>
        </w:rPr>
        <w:t>A</w:t>
      </w:r>
      <w:r w:rsidR="00A830E1" w:rsidRPr="00BC4148">
        <w:rPr>
          <w:highlight w:val="cyan"/>
        </w:rPr>
        <w:t xml:space="preserve">/ La certification des </w:t>
      </w:r>
      <w:r w:rsidR="00DA3FED" w:rsidRPr="00BC4148">
        <w:rPr>
          <w:highlight w:val="cyan"/>
        </w:rPr>
        <w:t>comptes de l’État</w:t>
      </w:r>
    </w:p>
    <w:p w:rsidR="00DA3FED" w:rsidRDefault="00DA3FED" w:rsidP="00CB5791"/>
    <w:p w:rsidR="00DA3FED" w:rsidRDefault="00DA3FED" w:rsidP="00CB5791">
      <w:r>
        <w:t>§1 En quoi consiste la certification des comptes ?</w:t>
      </w:r>
    </w:p>
    <w:p w:rsidR="00DA3FED" w:rsidRDefault="00DA3FED" w:rsidP="00CB5791"/>
    <w:p w:rsidR="00DA3FED" w:rsidRDefault="00DA3FED" w:rsidP="00CB5791">
      <w:r>
        <w:t>§2 Les réserves substantielles formulées par la Cour</w:t>
      </w:r>
    </w:p>
    <w:p w:rsidR="00DA3FED" w:rsidRDefault="00DA3FED" w:rsidP="00CB5791"/>
    <w:p w:rsidR="00DA3FED" w:rsidRDefault="00DA3FED" w:rsidP="00CB5791"/>
    <w:p w:rsidR="00DA3FED" w:rsidRDefault="00BC4148" w:rsidP="00CB5791">
      <w:r w:rsidRPr="00BC4148">
        <w:rPr>
          <w:highlight w:val="cyan"/>
        </w:rPr>
        <w:t>B</w:t>
      </w:r>
      <w:r w:rsidR="00DA3FED" w:rsidRPr="00BC4148">
        <w:rPr>
          <w:highlight w:val="cyan"/>
        </w:rPr>
        <w:t>/ L’évaluation et les demandes d’assistance du Parlement</w:t>
      </w:r>
      <w:r w:rsidR="00DA3FED">
        <w:t xml:space="preserve"> </w:t>
      </w:r>
    </w:p>
    <w:p w:rsidR="00DA3FED" w:rsidRDefault="00DA3FED" w:rsidP="00CB5791"/>
    <w:p w:rsidR="00DA3FED" w:rsidRDefault="00DA3FED" w:rsidP="00CB5791">
      <w:r>
        <w:t>§1 Une mission constitutionnelle du Parlement sous-traitée par la Cour</w:t>
      </w:r>
    </w:p>
    <w:p w:rsidR="00DA3FED" w:rsidRDefault="00DA3FED" w:rsidP="00CB5791"/>
    <w:p w:rsidR="00DA3FED" w:rsidRDefault="00DA3FED" w:rsidP="00CB5791">
      <w:r>
        <w:t>§2 Les moyens dont dispose la Cour : enquêtes et rapports</w:t>
      </w:r>
    </w:p>
    <w:p w:rsidR="00B4655B" w:rsidRDefault="00B4655B"/>
    <w:sectPr w:rsidR="00B4655B" w:rsidSect="002C3091">
      <w:footerReference w:type="even" r:id="rId10"/>
      <w:footerReference w:type="default" r:id="rId11"/>
      <w:pgSz w:w="11900" w:h="16840"/>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62B3" w:rsidRDefault="00CA62B3" w:rsidP="00A830E1">
      <w:r>
        <w:separator/>
      </w:r>
    </w:p>
  </w:endnote>
  <w:endnote w:type="continuationSeparator" w:id="0">
    <w:p w:rsidR="00CA62B3" w:rsidRDefault="00CA62B3" w:rsidP="00A8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687607335"/>
      <w:docPartObj>
        <w:docPartGallery w:val="Page Numbers (Bottom of Page)"/>
        <w:docPartUnique/>
      </w:docPartObj>
    </w:sdtPr>
    <w:sdtEndPr>
      <w:rPr>
        <w:rStyle w:val="Numrodepage"/>
      </w:rPr>
    </w:sdtEndPr>
    <w:sdtContent>
      <w:p w:rsidR="00A830E1" w:rsidRDefault="00A830E1" w:rsidP="0048622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A830E1" w:rsidRDefault="00A830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2101682689"/>
      <w:docPartObj>
        <w:docPartGallery w:val="Page Numbers (Bottom of Page)"/>
        <w:docPartUnique/>
      </w:docPartObj>
    </w:sdtPr>
    <w:sdtEndPr>
      <w:rPr>
        <w:rStyle w:val="Numrodepage"/>
      </w:rPr>
    </w:sdtEndPr>
    <w:sdtContent>
      <w:p w:rsidR="00A830E1" w:rsidRDefault="00A830E1" w:rsidP="0048622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A830E1" w:rsidRDefault="00A830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62B3" w:rsidRDefault="00CA62B3" w:rsidP="00A830E1">
      <w:r>
        <w:separator/>
      </w:r>
    </w:p>
  </w:footnote>
  <w:footnote w:type="continuationSeparator" w:id="0">
    <w:p w:rsidR="00CA62B3" w:rsidRDefault="00CA62B3" w:rsidP="00A83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D5533"/>
    <w:multiLevelType w:val="hybridMultilevel"/>
    <w:tmpl w:val="8F9832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9277B8"/>
    <w:multiLevelType w:val="hybridMultilevel"/>
    <w:tmpl w:val="5D80680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BF5AC0"/>
    <w:multiLevelType w:val="hybridMultilevel"/>
    <w:tmpl w:val="9FBEBE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A8F526D"/>
    <w:multiLevelType w:val="hybridMultilevel"/>
    <w:tmpl w:val="F4AE5C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F938A0"/>
    <w:multiLevelType w:val="hybridMultilevel"/>
    <w:tmpl w:val="CA3625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0F40B1"/>
    <w:multiLevelType w:val="hybridMultilevel"/>
    <w:tmpl w:val="113EE1A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9E"/>
    <w:rsid w:val="00016D3D"/>
    <w:rsid w:val="000C6E21"/>
    <w:rsid w:val="001E48A0"/>
    <w:rsid w:val="00294F79"/>
    <w:rsid w:val="002A6A3F"/>
    <w:rsid w:val="002C3091"/>
    <w:rsid w:val="00423D96"/>
    <w:rsid w:val="004F113E"/>
    <w:rsid w:val="00587A6B"/>
    <w:rsid w:val="00686F8D"/>
    <w:rsid w:val="00A830E1"/>
    <w:rsid w:val="00AB4422"/>
    <w:rsid w:val="00AB56AF"/>
    <w:rsid w:val="00B4655B"/>
    <w:rsid w:val="00BC4148"/>
    <w:rsid w:val="00C11FA6"/>
    <w:rsid w:val="00CA62B3"/>
    <w:rsid w:val="00CB5791"/>
    <w:rsid w:val="00D05C90"/>
    <w:rsid w:val="00D26A8A"/>
    <w:rsid w:val="00D724FD"/>
    <w:rsid w:val="00DA3FED"/>
    <w:rsid w:val="00DD6D57"/>
    <w:rsid w:val="00F664F1"/>
    <w:rsid w:val="00F87D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D0CEAA6"/>
  <w15:chartTrackingRefBased/>
  <w15:docId w15:val="{F58FBABC-2656-434F-B42C-30309488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3091"/>
    <w:pPr>
      <w:ind w:left="720"/>
      <w:contextualSpacing/>
    </w:pPr>
  </w:style>
  <w:style w:type="character" w:styleId="Lienhypertexte">
    <w:name w:val="Hyperlink"/>
    <w:basedOn w:val="Policepardfaut"/>
    <w:uiPriority w:val="99"/>
    <w:unhideWhenUsed/>
    <w:rsid w:val="00294F79"/>
    <w:rPr>
      <w:color w:val="0563C1" w:themeColor="hyperlink"/>
      <w:u w:val="single"/>
    </w:rPr>
  </w:style>
  <w:style w:type="character" w:styleId="Mentionnonrsolue">
    <w:name w:val="Unresolved Mention"/>
    <w:basedOn w:val="Policepardfaut"/>
    <w:uiPriority w:val="99"/>
    <w:semiHidden/>
    <w:unhideWhenUsed/>
    <w:rsid w:val="00294F79"/>
    <w:rPr>
      <w:color w:val="605E5C"/>
      <w:shd w:val="clear" w:color="auto" w:fill="E1DFDD"/>
    </w:rPr>
  </w:style>
  <w:style w:type="paragraph" w:styleId="Pieddepage">
    <w:name w:val="footer"/>
    <w:basedOn w:val="Normal"/>
    <w:link w:val="PieddepageCar"/>
    <w:uiPriority w:val="99"/>
    <w:unhideWhenUsed/>
    <w:rsid w:val="00A830E1"/>
    <w:pPr>
      <w:tabs>
        <w:tab w:val="center" w:pos="4536"/>
        <w:tab w:val="right" w:pos="9072"/>
      </w:tabs>
    </w:pPr>
  </w:style>
  <w:style w:type="character" w:customStyle="1" w:styleId="PieddepageCar">
    <w:name w:val="Pied de page Car"/>
    <w:basedOn w:val="Policepardfaut"/>
    <w:link w:val="Pieddepage"/>
    <w:uiPriority w:val="99"/>
    <w:rsid w:val="00A830E1"/>
  </w:style>
  <w:style w:type="character" w:styleId="Numrodepage">
    <w:name w:val="page number"/>
    <w:basedOn w:val="Policepardfaut"/>
    <w:uiPriority w:val="99"/>
    <w:semiHidden/>
    <w:unhideWhenUsed/>
    <w:rsid w:val="00A830E1"/>
  </w:style>
  <w:style w:type="character" w:styleId="Lienhypertextesuivivisit">
    <w:name w:val="FollowedHyperlink"/>
    <w:basedOn w:val="Policepardfaut"/>
    <w:uiPriority w:val="99"/>
    <w:semiHidden/>
    <w:unhideWhenUsed/>
    <w:rsid w:val="00BC41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ntempsdelevaluation.fr/wp-content/uploads/2018/06/Livre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financepourtous.com/2018/07/06/printemps-de-levaluation-levaluation-des-politiques-publiques-au-parl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2.assemblee-nationale.fr/15/commissions-permanentes/commission-des-finances/printemps-de-l-evaluation/printemps-de-l-evaluation-edition-2020/(block)/6769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1170</Words>
  <Characters>6439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2</cp:revision>
  <cp:lastPrinted>2020-11-25T23:11:00Z</cp:lastPrinted>
  <dcterms:created xsi:type="dcterms:W3CDTF">2020-11-30T09:27:00Z</dcterms:created>
  <dcterms:modified xsi:type="dcterms:W3CDTF">2020-11-30T09:27:00Z</dcterms:modified>
</cp:coreProperties>
</file>