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5907C" w14:textId="77777777" w:rsidR="00A662D2" w:rsidRPr="00F62B31" w:rsidRDefault="00096429" w:rsidP="00F62B31">
      <w:pPr>
        <w:jc w:val="center"/>
        <w:rPr>
          <w:b/>
          <w:sz w:val="40"/>
          <w:szCs w:val="40"/>
        </w:rPr>
      </w:pPr>
      <w:bookmarkStart w:id="0" w:name="_GoBack"/>
      <w:bookmarkEnd w:id="0"/>
      <w:r w:rsidRPr="00F62B31">
        <w:rPr>
          <w:b/>
          <w:sz w:val="40"/>
          <w:szCs w:val="40"/>
        </w:rPr>
        <w:t>PRÉLÈVEMENTS OBLIGATOIRES OCDE</w:t>
      </w:r>
      <w:r w:rsidR="00C43CCC">
        <w:rPr>
          <w:rStyle w:val="Appelnotedebasdep"/>
          <w:b/>
          <w:sz w:val="40"/>
          <w:szCs w:val="40"/>
        </w:rPr>
        <w:footnoteReference w:id="1"/>
      </w:r>
      <w:r w:rsidRPr="00F62B31">
        <w:rPr>
          <w:b/>
          <w:sz w:val="40"/>
          <w:szCs w:val="40"/>
        </w:rPr>
        <w:t xml:space="preserve"> 2018 (en % de PIB)</w:t>
      </w:r>
    </w:p>
    <w:p w14:paraId="0D74DF09" w14:textId="77777777" w:rsidR="00096429" w:rsidRPr="00F62B31" w:rsidRDefault="00096429" w:rsidP="00F62B31">
      <w:pPr>
        <w:jc w:val="center"/>
      </w:pPr>
      <w:r w:rsidRPr="00F62B31">
        <w:t>Rapport sur les statistiques des recettes publiques de décembre 2019, Tableau 1.1, p. 24</w:t>
      </w:r>
    </w:p>
    <w:p w14:paraId="579D04A8" w14:textId="77777777" w:rsidR="00F62B31" w:rsidRPr="007A1AA4" w:rsidRDefault="00C43CCC" w:rsidP="00F62B31">
      <w:pPr>
        <w:jc w:val="center"/>
        <w:rPr>
          <w:b/>
        </w:rPr>
      </w:pPr>
      <w:r w:rsidRPr="007A1AA4">
        <w:rPr>
          <w:b/>
        </w:rPr>
        <w:t>(</w:t>
      </w:r>
      <w:proofErr w:type="gramStart"/>
      <w:r w:rsidRPr="007A1AA4">
        <w:rPr>
          <w:b/>
        </w:rPr>
        <w:t>en</w:t>
      </w:r>
      <w:proofErr w:type="gramEnd"/>
      <w:r w:rsidRPr="007A1AA4">
        <w:rPr>
          <w:b/>
        </w:rPr>
        <w:t xml:space="preserve"> gras, les É</w:t>
      </w:r>
      <w:r w:rsidR="00F62B31" w:rsidRPr="007A1AA4">
        <w:rPr>
          <w:b/>
        </w:rPr>
        <w:t>tats membres de l’UE-28)</w:t>
      </w:r>
    </w:p>
    <w:p w14:paraId="3DC87733" w14:textId="77777777" w:rsidR="00C43CCC" w:rsidRPr="00F62B31" w:rsidRDefault="00C43CCC" w:rsidP="00F62B31">
      <w:pPr>
        <w:jc w:val="center"/>
      </w:pPr>
    </w:p>
    <w:p w14:paraId="4E91B505" w14:textId="77777777" w:rsidR="00F62B31" w:rsidRPr="00A713A4" w:rsidRDefault="00F62B31" w:rsidP="00F62B31">
      <w:pPr>
        <w:jc w:val="center"/>
        <w:rPr>
          <w:b/>
        </w:rPr>
      </w:pPr>
      <w:r w:rsidRPr="00F62B31">
        <w:rPr>
          <w:b/>
        </w:rPr>
        <w:t>46</w:t>
      </w:r>
      <w:r w:rsidRPr="00A713A4">
        <w:rPr>
          <w:b/>
        </w:rPr>
        <w:t>,1% France (baisse)</w:t>
      </w:r>
    </w:p>
    <w:p w14:paraId="46DA6452" w14:textId="77777777" w:rsidR="00F62B31" w:rsidRPr="00A713A4" w:rsidRDefault="00F62B31" w:rsidP="00F62B31">
      <w:pPr>
        <w:jc w:val="center"/>
        <w:rPr>
          <w:b/>
        </w:rPr>
      </w:pPr>
      <w:r w:rsidRPr="00A713A4">
        <w:rPr>
          <w:b/>
        </w:rPr>
        <w:t>44,9% Danemark (baisse)</w:t>
      </w:r>
    </w:p>
    <w:p w14:paraId="43478005" w14:textId="1D057234" w:rsidR="00F62B31" w:rsidRPr="00A713A4" w:rsidRDefault="00F62B31" w:rsidP="00F62B31">
      <w:pPr>
        <w:jc w:val="center"/>
        <w:rPr>
          <w:b/>
        </w:rPr>
      </w:pPr>
      <w:r w:rsidRPr="00A713A4">
        <w:rPr>
          <w:b/>
        </w:rPr>
        <w:t>44,8% Belgique</w:t>
      </w:r>
    </w:p>
    <w:p w14:paraId="29071EAD" w14:textId="77777777" w:rsidR="00F62B31" w:rsidRPr="00A713A4" w:rsidRDefault="00F62B31" w:rsidP="00F62B31">
      <w:pPr>
        <w:jc w:val="center"/>
        <w:rPr>
          <w:b/>
        </w:rPr>
      </w:pPr>
      <w:r w:rsidRPr="00A713A4">
        <w:rPr>
          <w:b/>
        </w:rPr>
        <w:t>43,9% Suède (baisse)</w:t>
      </w:r>
    </w:p>
    <w:p w14:paraId="1130AB0B" w14:textId="77777777" w:rsidR="00F62B31" w:rsidRPr="00A713A4" w:rsidRDefault="00F62B31" w:rsidP="00F62B31">
      <w:pPr>
        <w:jc w:val="center"/>
        <w:rPr>
          <w:b/>
        </w:rPr>
      </w:pPr>
      <w:r w:rsidRPr="00A713A4">
        <w:rPr>
          <w:b/>
        </w:rPr>
        <w:t>42,7% Finlande (baisse)</w:t>
      </w:r>
    </w:p>
    <w:p w14:paraId="131E7075" w14:textId="77777777" w:rsidR="00F62B31" w:rsidRPr="00A713A4" w:rsidRDefault="00F62B31" w:rsidP="00F62B31">
      <w:pPr>
        <w:jc w:val="center"/>
        <w:rPr>
          <w:b/>
        </w:rPr>
      </w:pPr>
      <w:r w:rsidRPr="00A713A4">
        <w:rPr>
          <w:b/>
        </w:rPr>
        <w:t>42,2% Autriche</w:t>
      </w:r>
    </w:p>
    <w:p w14:paraId="11CCF978" w14:textId="77777777" w:rsidR="00F62B31" w:rsidRPr="00A713A4" w:rsidRDefault="00F62B31" w:rsidP="00F62B31">
      <w:pPr>
        <w:jc w:val="center"/>
        <w:rPr>
          <w:b/>
        </w:rPr>
      </w:pPr>
      <w:r w:rsidRPr="00A713A4">
        <w:rPr>
          <w:b/>
        </w:rPr>
        <w:t>42,1% Italie (baisse)</w:t>
      </w:r>
    </w:p>
    <w:p w14:paraId="7F8B3693" w14:textId="77777777" w:rsidR="00F62B31" w:rsidRDefault="00F62B31" w:rsidP="00F62B31">
      <w:pPr>
        <w:pBdr>
          <w:bottom w:val="single" w:sz="6" w:space="1" w:color="auto"/>
        </w:pBdr>
        <w:jc w:val="center"/>
        <w:rPr>
          <w:b/>
        </w:rPr>
      </w:pPr>
      <w:r w:rsidRPr="00F62B31">
        <w:rPr>
          <w:b/>
        </w:rPr>
        <w:t>40,1% Luxembourg</w:t>
      </w:r>
    </w:p>
    <w:p w14:paraId="1AB99845" w14:textId="77777777" w:rsidR="00A713A4" w:rsidRPr="00A713A4" w:rsidRDefault="00A713A4" w:rsidP="00F62B31">
      <w:pPr>
        <w:pBdr>
          <w:bottom w:val="single" w:sz="6" w:space="1" w:color="auto"/>
        </w:pBdr>
        <w:jc w:val="center"/>
      </w:pPr>
      <w:r w:rsidRPr="00A713A4">
        <w:t>8 pays au-dessus de 40% du PIB</w:t>
      </w:r>
    </w:p>
    <w:p w14:paraId="5D135413" w14:textId="77777777" w:rsidR="009E6F3F" w:rsidRDefault="009E6F3F" w:rsidP="00B31E61">
      <w:pPr>
        <w:jc w:val="center"/>
      </w:pPr>
      <w:r>
        <w:t xml:space="preserve">Catégorie intermédiaire de </w:t>
      </w:r>
      <w:r w:rsidR="001302BE">
        <w:t xml:space="preserve">20 </w:t>
      </w:r>
      <w:r>
        <w:t>États situés entre 30 et 40% du PIB</w:t>
      </w:r>
    </w:p>
    <w:p w14:paraId="498D41E8" w14:textId="77777777" w:rsidR="001302BE" w:rsidRDefault="001302BE" w:rsidP="00B31E61">
      <w:pPr>
        <w:jc w:val="center"/>
      </w:pPr>
      <w:r>
        <w:t>(11 États au-dessus de la moyenne + 9 au-dessous)</w:t>
      </w:r>
    </w:p>
    <w:p w14:paraId="4B26356D" w14:textId="77777777" w:rsidR="00B31E61" w:rsidRPr="00650469" w:rsidRDefault="00B31E61" w:rsidP="00B31E61">
      <w:pPr>
        <w:jc w:val="center"/>
      </w:pPr>
      <w:r w:rsidRPr="00650469">
        <w:t>39,0% Norvège</w:t>
      </w:r>
    </w:p>
    <w:p w14:paraId="13DC6FC4" w14:textId="5152118E" w:rsidR="00A713A4" w:rsidRDefault="007A1AA4" w:rsidP="00F62B31">
      <w:pPr>
        <w:jc w:val="center"/>
        <w:rPr>
          <w:b/>
        </w:rPr>
      </w:pPr>
      <w:r>
        <w:rPr>
          <w:b/>
        </w:rPr>
        <w:t>38,8 Pays-Bas</w:t>
      </w:r>
    </w:p>
    <w:p w14:paraId="0AB86B87" w14:textId="77777777" w:rsidR="00B31E61" w:rsidRDefault="00A713A4" w:rsidP="00F62B31">
      <w:pPr>
        <w:jc w:val="center"/>
        <w:rPr>
          <w:b/>
        </w:rPr>
      </w:pPr>
      <w:r>
        <w:rPr>
          <w:b/>
        </w:rPr>
        <w:t>38,7 Grèce (baisse)</w:t>
      </w:r>
      <w:r w:rsidR="00B31E61">
        <w:rPr>
          <w:b/>
        </w:rPr>
        <w:t xml:space="preserve"> </w:t>
      </w:r>
    </w:p>
    <w:p w14:paraId="6001CBCB" w14:textId="77777777" w:rsidR="00A713A4" w:rsidRDefault="00B31E61" w:rsidP="00F62B31">
      <w:pPr>
        <w:jc w:val="center"/>
        <w:rPr>
          <w:b/>
        </w:rPr>
      </w:pPr>
      <w:r>
        <w:rPr>
          <w:b/>
        </w:rPr>
        <w:t>38,2% Allemagne</w:t>
      </w:r>
    </w:p>
    <w:p w14:paraId="3FF41BF7" w14:textId="77777777" w:rsidR="00B31E61" w:rsidRPr="001302BE" w:rsidRDefault="00B31E61" w:rsidP="00F62B31">
      <w:pPr>
        <w:jc w:val="center"/>
      </w:pPr>
      <w:r w:rsidRPr="001302BE">
        <w:t>36,7% Islande (baisse)</w:t>
      </w:r>
    </w:p>
    <w:p w14:paraId="12E197D1" w14:textId="77777777" w:rsidR="00A713A4" w:rsidRDefault="00650469" w:rsidP="00F62B31">
      <w:pPr>
        <w:jc w:val="center"/>
        <w:rPr>
          <w:b/>
        </w:rPr>
      </w:pPr>
      <w:r>
        <w:rPr>
          <w:b/>
        </w:rPr>
        <w:t>36,6% Hongrie (baisse)</w:t>
      </w:r>
    </w:p>
    <w:p w14:paraId="7389F288" w14:textId="77777777" w:rsidR="000364EE" w:rsidRDefault="000364EE" w:rsidP="00F62B31">
      <w:pPr>
        <w:jc w:val="center"/>
        <w:rPr>
          <w:b/>
        </w:rPr>
      </w:pPr>
      <w:r>
        <w:rPr>
          <w:b/>
        </w:rPr>
        <w:t xml:space="preserve">36,4% Slovénie </w:t>
      </w:r>
    </w:p>
    <w:p w14:paraId="0E2A41CC" w14:textId="77777777" w:rsidR="000364EE" w:rsidRDefault="000364EE" w:rsidP="00F62B31">
      <w:pPr>
        <w:jc w:val="center"/>
        <w:rPr>
          <w:b/>
        </w:rPr>
      </w:pPr>
      <w:r>
        <w:rPr>
          <w:b/>
        </w:rPr>
        <w:t>35,4% Portugal</w:t>
      </w:r>
    </w:p>
    <w:p w14:paraId="062AE24A" w14:textId="77777777" w:rsidR="000364EE" w:rsidRDefault="000364EE" w:rsidP="00F62B31">
      <w:pPr>
        <w:jc w:val="center"/>
        <w:rPr>
          <w:b/>
        </w:rPr>
      </w:pPr>
      <w:r>
        <w:rPr>
          <w:b/>
        </w:rPr>
        <w:t xml:space="preserve">35,3% République Tchèque </w:t>
      </w:r>
    </w:p>
    <w:p w14:paraId="3637E6AF" w14:textId="77777777" w:rsidR="000364EE" w:rsidRDefault="000364EE" w:rsidP="00F62B31">
      <w:pPr>
        <w:jc w:val="center"/>
        <w:rPr>
          <w:b/>
        </w:rPr>
      </w:pPr>
      <w:r>
        <w:rPr>
          <w:b/>
        </w:rPr>
        <w:t>35,0 Pologne</w:t>
      </w:r>
    </w:p>
    <w:p w14:paraId="19998B16" w14:textId="77777777" w:rsidR="000364EE" w:rsidRDefault="000364EE" w:rsidP="00F62B31">
      <w:pPr>
        <w:jc w:val="center"/>
        <w:rPr>
          <w:b/>
        </w:rPr>
      </w:pPr>
      <w:r>
        <w:rPr>
          <w:b/>
        </w:rPr>
        <w:t>34,4 Espagne</w:t>
      </w:r>
    </w:p>
    <w:p w14:paraId="327997B8" w14:textId="77777777" w:rsidR="000364EE" w:rsidRPr="007A1AA4" w:rsidRDefault="000364EE" w:rsidP="00F62B31">
      <w:pPr>
        <w:jc w:val="center"/>
        <w:rPr>
          <w:b/>
          <w:sz w:val="32"/>
          <w:szCs w:val="32"/>
          <w:u w:val="single"/>
        </w:rPr>
      </w:pPr>
      <w:r w:rsidRPr="007A1AA4">
        <w:rPr>
          <w:b/>
          <w:sz w:val="32"/>
          <w:szCs w:val="32"/>
          <w:u w:val="single"/>
        </w:rPr>
        <w:t>34,3% Moyenne des Pays de l’OCDE (en hausse)</w:t>
      </w:r>
    </w:p>
    <w:p w14:paraId="7DBE47AE" w14:textId="77777777" w:rsidR="000364EE" w:rsidRDefault="000364EE" w:rsidP="00F62B31">
      <w:pPr>
        <w:jc w:val="center"/>
        <w:rPr>
          <w:b/>
        </w:rPr>
      </w:pPr>
      <w:r>
        <w:rPr>
          <w:b/>
        </w:rPr>
        <w:t>33,5% Royaume-Uni</w:t>
      </w:r>
    </w:p>
    <w:p w14:paraId="07D0D640" w14:textId="77777777" w:rsidR="000364EE" w:rsidRDefault="000364EE" w:rsidP="00F62B31">
      <w:pPr>
        <w:jc w:val="center"/>
        <w:rPr>
          <w:b/>
        </w:rPr>
      </w:pPr>
      <w:r>
        <w:rPr>
          <w:b/>
        </w:rPr>
        <w:t>33,2% Estonie</w:t>
      </w:r>
    </w:p>
    <w:p w14:paraId="71B8086C" w14:textId="77777777" w:rsidR="000364EE" w:rsidRDefault="000364EE" w:rsidP="00F62B31">
      <w:pPr>
        <w:jc w:val="center"/>
        <w:rPr>
          <w:b/>
        </w:rPr>
      </w:pPr>
      <w:r>
        <w:rPr>
          <w:b/>
        </w:rPr>
        <w:t>33,1% Slovaquie</w:t>
      </w:r>
    </w:p>
    <w:p w14:paraId="3C2819C3" w14:textId="77777777" w:rsidR="000364EE" w:rsidRDefault="000364EE" w:rsidP="00F62B31">
      <w:pPr>
        <w:jc w:val="center"/>
      </w:pPr>
      <w:r w:rsidRPr="000364EE">
        <w:t xml:space="preserve">33,0% </w:t>
      </w:r>
      <w:r>
        <w:t>Canada</w:t>
      </w:r>
    </w:p>
    <w:p w14:paraId="6971117F" w14:textId="77777777" w:rsidR="000364EE" w:rsidRDefault="000364EE" w:rsidP="00F62B31">
      <w:pPr>
        <w:jc w:val="center"/>
      </w:pPr>
      <w:r>
        <w:t>32,7% Nouvelle-Zélande</w:t>
      </w:r>
    </w:p>
    <w:p w14:paraId="31B9362A" w14:textId="54784E0D" w:rsidR="000364EE" w:rsidRPr="000364EE" w:rsidRDefault="000364EE" w:rsidP="00F62B31">
      <w:pPr>
        <w:jc w:val="center"/>
      </w:pPr>
      <w:r>
        <w:t>31,4% Japon</w:t>
      </w:r>
      <w:r w:rsidR="007A1AA4" w:rsidRPr="007A1AA4">
        <w:rPr>
          <w:vertAlign w:val="superscript"/>
        </w:rPr>
        <w:t>2</w:t>
      </w:r>
    </w:p>
    <w:p w14:paraId="295FBADB" w14:textId="77777777" w:rsidR="000364EE" w:rsidRPr="009E6F3F" w:rsidRDefault="000364EE" w:rsidP="00F62B31">
      <w:pPr>
        <w:jc w:val="center"/>
      </w:pPr>
      <w:r w:rsidRPr="009E6F3F">
        <w:t>31,1% Israël (en baisse)</w:t>
      </w:r>
    </w:p>
    <w:p w14:paraId="589035FB" w14:textId="636EB58A" w:rsidR="000364EE" w:rsidRDefault="000364EE" w:rsidP="00F62B31">
      <w:pPr>
        <w:jc w:val="center"/>
        <w:rPr>
          <w:b/>
        </w:rPr>
      </w:pPr>
      <w:r>
        <w:rPr>
          <w:b/>
        </w:rPr>
        <w:t>30,7%</w:t>
      </w:r>
      <w:r w:rsidR="001D26FF">
        <w:rPr>
          <w:b/>
        </w:rPr>
        <w:t xml:space="preserve"> </w:t>
      </w:r>
      <w:r>
        <w:rPr>
          <w:b/>
        </w:rPr>
        <w:t xml:space="preserve">Lettonie </w:t>
      </w:r>
      <w:r w:rsidR="007A1AA4">
        <w:rPr>
          <w:b/>
        </w:rPr>
        <w:t>(baisse)</w:t>
      </w:r>
    </w:p>
    <w:p w14:paraId="2F73B088" w14:textId="77777777" w:rsidR="009E6F3F" w:rsidRDefault="009E6F3F" w:rsidP="00F62B31">
      <w:pPr>
        <w:pBdr>
          <w:bottom w:val="single" w:sz="6" w:space="1" w:color="auto"/>
        </w:pBdr>
        <w:jc w:val="center"/>
        <w:rPr>
          <w:b/>
        </w:rPr>
      </w:pPr>
      <w:r>
        <w:rPr>
          <w:b/>
        </w:rPr>
        <w:t>30,3% Lituanie</w:t>
      </w:r>
    </w:p>
    <w:p w14:paraId="04481CCA" w14:textId="77777777" w:rsidR="009E6F3F" w:rsidRDefault="001302BE" w:rsidP="00F62B31">
      <w:pPr>
        <w:jc w:val="center"/>
        <w:rPr>
          <w:b/>
        </w:rPr>
      </w:pPr>
      <w:r>
        <w:rPr>
          <w:b/>
        </w:rPr>
        <w:t>8 pays situés en-dessous de la barre des 30% du PIB</w:t>
      </w:r>
    </w:p>
    <w:p w14:paraId="77238800" w14:textId="4CCAEA02" w:rsidR="007A1AA4" w:rsidRDefault="007A1AA4" w:rsidP="00F62B31">
      <w:pPr>
        <w:jc w:val="center"/>
      </w:pPr>
      <w:r>
        <w:t>28,5% Australie</w:t>
      </w:r>
      <w:r>
        <w:rPr>
          <w:rStyle w:val="Appelnotedebasdep"/>
        </w:rPr>
        <w:footnoteReference w:id="2"/>
      </w:r>
    </w:p>
    <w:p w14:paraId="5D851A84" w14:textId="29255AB8" w:rsidR="001302BE" w:rsidRPr="001302BE" w:rsidRDefault="001302BE" w:rsidP="00F62B31">
      <w:pPr>
        <w:jc w:val="center"/>
      </w:pPr>
      <w:r w:rsidRPr="001302BE">
        <w:t>28,4% Corée du Sud</w:t>
      </w:r>
      <w:r>
        <w:t xml:space="preserve"> </w:t>
      </w:r>
    </w:p>
    <w:p w14:paraId="56572F71" w14:textId="77777777" w:rsidR="001302BE" w:rsidRPr="001302BE" w:rsidRDefault="001302BE" w:rsidP="00F62B31">
      <w:pPr>
        <w:jc w:val="center"/>
      </w:pPr>
      <w:r w:rsidRPr="001302BE">
        <w:t>27,9% Suisse</w:t>
      </w:r>
      <w:r>
        <w:t xml:space="preserve"> (baisse)</w:t>
      </w:r>
    </w:p>
    <w:p w14:paraId="18C397EB" w14:textId="77777777" w:rsidR="001302BE" w:rsidRDefault="001302BE" w:rsidP="00F62B31">
      <w:pPr>
        <w:jc w:val="center"/>
      </w:pPr>
      <w:r w:rsidRPr="001302BE">
        <w:t>24,4% Turquie</w:t>
      </w:r>
      <w:r w:rsidR="00E30D91">
        <w:t xml:space="preserve"> (baisse)</w:t>
      </w:r>
    </w:p>
    <w:p w14:paraId="22A7D163" w14:textId="77777777" w:rsidR="001302BE" w:rsidRPr="001302BE" w:rsidRDefault="001302BE" w:rsidP="00F62B31">
      <w:pPr>
        <w:jc w:val="center"/>
      </w:pPr>
      <w:r>
        <w:t>24,3% Etats-Unis (baisse)</w:t>
      </w:r>
    </w:p>
    <w:p w14:paraId="1B189397" w14:textId="77777777" w:rsidR="001302BE" w:rsidRDefault="001302BE" w:rsidP="00F62B31">
      <w:pPr>
        <w:jc w:val="center"/>
        <w:rPr>
          <w:b/>
        </w:rPr>
      </w:pPr>
      <w:r>
        <w:rPr>
          <w:b/>
        </w:rPr>
        <w:t>22,3% Irlande</w:t>
      </w:r>
      <w:r w:rsidR="00E30D91">
        <w:rPr>
          <w:b/>
        </w:rPr>
        <w:t xml:space="preserve"> (baisse)</w:t>
      </w:r>
    </w:p>
    <w:p w14:paraId="18E2CC6B" w14:textId="5AB47932" w:rsidR="001302BE" w:rsidRPr="001302BE" w:rsidRDefault="001302BE" w:rsidP="00F62B31">
      <w:pPr>
        <w:jc w:val="center"/>
      </w:pPr>
      <w:r w:rsidRPr="001302BE">
        <w:t>21,1% Chili</w:t>
      </w:r>
    </w:p>
    <w:p w14:paraId="4FC8E010" w14:textId="77777777" w:rsidR="001302BE" w:rsidRDefault="001302BE" w:rsidP="00F62B31">
      <w:pPr>
        <w:jc w:val="center"/>
      </w:pPr>
      <w:r w:rsidRPr="001302BE">
        <w:t xml:space="preserve">16,1% </w:t>
      </w:r>
      <w:r w:rsidR="00E30D91">
        <w:t>Mexique (baisse)</w:t>
      </w:r>
    </w:p>
    <w:p w14:paraId="0A2F1D5F" w14:textId="77777777" w:rsidR="00706230" w:rsidRDefault="00706230" w:rsidP="00F62B31">
      <w:pPr>
        <w:jc w:val="center"/>
      </w:pPr>
    </w:p>
    <w:p w14:paraId="5DF3528C" w14:textId="77777777" w:rsidR="00706230" w:rsidRPr="00CB7AB7" w:rsidRDefault="00706230" w:rsidP="00706230">
      <w:pPr>
        <w:jc w:val="both"/>
        <w:rPr>
          <w:b/>
          <w:bCs/>
          <w:sz w:val="28"/>
          <w:szCs w:val="28"/>
        </w:rPr>
      </w:pPr>
      <w:r w:rsidRPr="00CB7AB7">
        <w:rPr>
          <w:b/>
          <w:bCs/>
          <w:sz w:val="28"/>
          <w:szCs w:val="28"/>
        </w:rPr>
        <w:lastRenderedPageBreak/>
        <w:t>QUE DEVEZ-VOUS RETENIR DE CETTE LISTE FASTIDIEUSE ?</w:t>
      </w:r>
    </w:p>
    <w:p w14:paraId="5AB2A3A4" w14:textId="5A3B67E4" w:rsidR="00706230" w:rsidRDefault="00706230" w:rsidP="00706230">
      <w:pPr>
        <w:jc w:val="both"/>
        <w:rPr>
          <w:sz w:val="28"/>
          <w:szCs w:val="28"/>
        </w:rPr>
      </w:pPr>
      <w:r>
        <w:rPr>
          <w:sz w:val="28"/>
          <w:szCs w:val="28"/>
        </w:rPr>
        <w:t>Uniquement les 5 éléments suivants :</w:t>
      </w:r>
    </w:p>
    <w:p w14:paraId="123CC22B" w14:textId="77777777" w:rsidR="00706230" w:rsidRPr="00706230" w:rsidRDefault="00706230" w:rsidP="00706230">
      <w:pPr>
        <w:jc w:val="both"/>
      </w:pPr>
    </w:p>
    <w:p w14:paraId="3FF19B33" w14:textId="77777777" w:rsidR="00706230" w:rsidRDefault="00706230" w:rsidP="00706230">
      <w:pPr>
        <w:jc w:val="both"/>
        <w:rPr>
          <w:sz w:val="28"/>
          <w:szCs w:val="28"/>
        </w:rPr>
      </w:pPr>
      <w:r>
        <w:rPr>
          <w:sz w:val="28"/>
          <w:szCs w:val="28"/>
        </w:rPr>
        <w:t xml:space="preserve">1°) Le taux moyen de PO des pays de l’OCDE en 2018 = </w:t>
      </w:r>
      <w:r w:rsidRPr="00FB35E1">
        <w:rPr>
          <w:b/>
          <w:bCs/>
          <w:sz w:val="28"/>
          <w:szCs w:val="28"/>
        </w:rPr>
        <w:t>34,</w:t>
      </w:r>
      <w:r>
        <w:rPr>
          <w:b/>
          <w:bCs/>
          <w:sz w:val="28"/>
          <w:szCs w:val="28"/>
        </w:rPr>
        <w:t>3</w:t>
      </w:r>
      <w:r w:rsidRPr="00FB35E1">
        <w:rPr>
          <w:b/>
          <w:bCs/>
          <w:sz w:val="28"/>
          <w:szCs w:val="28"/>
        </w:rPr>
        <w:t>% PIB</w:t>
      </w:r>
      <w:r>
        <w:rPr>
          <w:b/>
          <w:bCs/>
          <w:sz w:val="28"/>
          <w:szCs w:val="28"/>
        </w:rPr>
        <w:t>.</w:t>
      </w:r>
    </w:p>
    <w:p w14:paraId="32DBDA7B" w14:textId="77777777" w:rsidR="00706230" w:rsidRDefault="00706230" w:rsidP="00706230">
      <w:pPr>
        <w:jc w:val="both"/>
        <w:rPr>
          <w:sz w:val="28"/>
          <w:szCs w:val="28"/>
        </w:rPr>
      </w:pPr>
      <w:r>
        <w:rPr>
          <w:sz w:val="28"/>
          <w:szCs w:val="28"/>
        </w:rPr>
        <w:t xml:space="preserve">2°) Le taux de la France en 2018 = </w:t>
      </w:r>
      <w:r w:rsidRPr="00FB35E1">
        <w:rPr>
          <w:b/>
          <w:bCs/>
          <w:sz w:val="28"/>
          <w:szCs w:val="28"/>
        </w:rPr>
        <w:t>46,</w:t>
      </w:r>
      <w:r>
        <w:rPr>
          <w:b/>
          <w:bCs/>
          <w:sz w:val="28"/>
          <w:szCs w:val="28"/>
        </w:rPr>
        <w:t>1</w:t>
      </w:r>
      <w:r w:rsidRPr="00FB35E1">
        <w:rPr>
          <w:b/>
          <w:bCs/>
          <w:sz w:val="28"/>
          <w:szCs w:val="28"/>
        </w:rPr>
        <w:t>% PIB</w:t>
      </w:r>
      <w:r>
        <w:rPr>
          <w:sz w:val="28"/>
          <w:szCs w:val="28"/>
        </w:rPr>
        <w:t xml:space="preserve"> la France est championne du monde des PO !</w:t>
      </w:r>
    </w:p>
    <w:p w14:paraId="37596A30" w14:textId="77777777" w:rsidR="00706230" w:rsidRDefault="00706230" w:rsidP="00706230">
      <w:pPr>
        <w:jc w:val="both"/>
        <w:rPr>
          <w:sz w:val="28"/>
          <w:szCs w:val="28"/>
        </w:rPr>
      </w:pPr>
      <w:r>
        <w:rPr>
          <w:sz w:val="28"/>
          <w:szCs w:val="28"/>
        </w:rPr>
        <w:t xml:space="preserve">3°) Le taux allemand 2018 = </w:t>
      </w:r>
      <w:r w:rsidRPr="00FB35E1">
        <w:rPr>
          <w:b/>
          <w:bCs/>
          <w:sz w:val="28"/>
          <w:szCs w:val="28"/>
        </w:rPr>
        <w:t>3</w:t>
      </w:r>
      <w:r>
        <w:rPr>
          <w:b/>
          <w:bCs/>
          <w:sz w:val="28"/>
          <w:szCs w:val="28"/>
        </w:rPr>
        <w:t>8,2</w:t>
      </w:r>
      <w:r w:rsidRPr="00FB35E1">
        <w:rPr>
          <w:b/>
          <w:bCs/>
          <w:sz w:val="28"/>
          <w:szCs w:val="28"/>
        </w:rPr>
        <w:t>% PIB</w:t>
      </w:r>
      <w:r>
        <w:rPr>
          <w:sz w:val="28"/>
          <w:szCs w:val="28"/>
        </w:rPr>
        <w:t xml:space="preserve"> (moyenne OCDE +4 avant la virgule et -1 après)</w:t>
      </w:r>
    </w:p>
    <w:p w14:paraId="7C4B948B" w14:textId="77777777" w:rsidR="00706230" w:rsidRDefault="00706230" w:rsidP="00706230">
      <w:pPr>
        <w:jc w:val="both"/>
        <w:rPr>
          <w:sz w:val="28"/>
          <w:szCs w:val="28"/>
        </w:rPr>
      </w:pPr>
      <w:r>
        <w:rPr>
          <w:sz w:val="28"/>
          <w:szCs w:val="28"/>
        </w:rPr>
        <w:t xml:space="preserve">4°) Le taux du RU 2018 = </w:t>
      </w:r>
      <w:r w:rsidRPr="00FB35E1">
        <w:rPr>
          <w:b/>
          <w:bCs/>
          <w:sz w:val="28"/>
          <w:szCs w:val="28"/>
        </w:rPr>
        <w:t>33,</w:t>
      </w:r>
      <w:r>
        <w:rPr>
          <w:b/>
          <w:bCs/>
          <w:sz w:val="28"/>
          <w:szCs w:val="28"/>
        </w:rPr>
        <w:t>5</w:t>
      </w:r>
      <w:r w:rsidRPr="00FB35E1">
        <w:rPr>
          <w:b/>
          <w:bCs/>
          <w:sz w:val="28"/>
          <w:szCs w:val="28"/>
        </w:rPr>
        <w:t>%</w:t>
      </w:r>
      <w:r>
        <w:rPr>
          <w:sz w:val="28"/>
          <w:szCs w:val="28"/>
        </w:rPr>
        <w:t xml:space="preserve"> (moyenne OCDE -1 point avant la virgule et +2 après)</w:t>
      </w:r>
    </w:p>
    <w:p w14:paraId="7A8E81EB" w14:textId="77777777" w:rsidR="00706230" w:rsidRDefault="00706230" w:rsidP="00706230">
      <w:pPr>
        <w:jc w:val="both"/>
        <w:rPr>
          <w:sz w:val="28"/>
          <w:szCs w:val="28"/>
        </w:rPr>
      </w:pPr>
      <w:r>
        <w:rPr>
          <w:sz w:val="28"/>
          <w:szCs w:val="28"/>
        </w:rPr>
        <w:t xml:space="preserve">5°) Le nom des 3 pays riches qui maintiennent volontairement leur PIB en dessous de 30% </w:t>
      </w:r>
    </w:p>
    <w:p w14:paraId="481B0417" w14:textId="77777777" w:rsidR="00706230" w:rsidRPr="0080753F" w:rsidRDefault="00706230" w:rsidP="00706230">
      <w:pPr>
        <w:jc w:val="both"/>
        <w:rPr>
          <w:sz w:val="28"/>
          <w:szCs w:val="28"/>
        </w:rPr>
      </w:pPr>
      <w:r>
        <w:rPr>
          <w:sz w:val="28"/>
          <w:szCs w:val="28"/>
        </w:rPr>
        <w:t xml:space="preserve">= </w:t>
      </w:r>
      <w:r w:rsidRPr="00FB35E1">
        <w:rPr>
          <w:b/>
          <w:bCs/>
          <w:sz w:val="28"/>
          <w:szCs w:val="28"/>
        </w:rPr>
        <w:t>Suisse-Australie-États-Unis</w:t>
      </w:r>
      <w:r>
        <w:rPr>
          <w:b/>
          <w:bCs/>
          <w:sz w:val="28"/>
          <w:szCs w:val="28"/>
        </w:rPr>
        <w:t xml:space="preserve">. </w:t>
      </w:r>
      <w:r w:rsidRPr="0080753F">
        <w:rPr>
          <w:sz w:val="28"/>
          <w:szCs w:val="28"/>
        </w:rPr>
        <w:t>Rappelez-vous : la Suisse en haut, les États-Unis en bas.</w:t>
      </w:r>
    </w:p>
    <w:p w14:paraId="4F78B99A" w14:textId="77777777" w:rsidR="00706230" w:rsidRPr="00706230" w:rsidRDefault="00706230" w:rsidP="00706230">
      <w:pPr>
        <w:jc w:val="both"/>
        <w:rPr>
          <w:sz w:val="18"/>
          <w:szCs w:val="18"/>
        </w:rPr>
      </w:pPr>
    </w:p>
    <w:p w14:paraId="65751B37" w14:textId="77777777" w:rsidR="00706230" w:rsidRPr="00706230" w:rsidRDefault="00706230" w:rsidP="00706230">
      <w:pPr>
        <w:jc w:val="both"/>
        <w:rPr>
          <w:sz w:val="18"/>
          <w:szCs w:val="18"/>
        </w:rPr>
      </w:pPr>
    </w:p>
    <w:p w14:paraId="58A1F7C1" w14:textId="77777777" w:rsidR="00706230" w:rsidRPr="006A22C0" w:rsidRDefault="00706230" w:rsidP="00706230">
      <w:pPr>
        <w:pBdr>
          <w:top w:val="single" w:sz="4" w:space="1" w:color="auto"/>
          <w:left w:val="single" w:sz="4" w:space="4" w:color="auto"/>
          <w:bottom w:val="single" w:sz="4" w:space="1" w:color="auto"/>
          <w:right w:val="single" w:sz="4" w:space="4" w:color="auto"/>
        </w:pBdr>
        <w:jc w:val="both"/>
        <w:rPr>
          <w:sz w:val="20"/>
          <w:szCs w:val="20"/>
        </w:rPr>
      </w:pPr>
      <w:r w:rsidRPr="006A22C0">
        <w:rPr>
          <w:sz w:val="20"/>
          <w:szCs w:val="20"/>
        </w:rPr>
        <w:t>Être intelligent, ça s’apprend.</w:t>
      </w:r>
    </w:p>
    <w:p w14:paraId="58AA7ABB" w14:textId="77777777" w:rsidR="00706230" w:rsidRPr="006A22C0" w:rsidRDefault="00706230" w:rsidP="00706230">
      <w:pPr>
        <w:pBdr>
          <w:top w:val="single" w:sz="4" w:space="1" w:color="auto"/>
          <w:left w:val="single" w:sz="4" w:space="4" w:color="auto"/>
          <w:bottom w:val="single" w:sz="4" w:space="1" w:color="auto"/>
          <w:right w:val="single" w:sz="4" w:space="4" w:color="auto"/>
        </w:pBdr>
        <w:jc w:val="both"/>
        <w:rPr>
          <w:sz w:val="20"/>
          <w:szCs w:val="20"/>
        </w:rPr>
      </w:pPr>
      <w:r w:rsidRPr="006A22C0">
        <w:rPr>
          <w:sz w:val="20"/>
          <w:szCs w:val="20"/>
        </w:rPr>
        <w:t>Être intelligent consiste à faire le tri entre ce qui est important et ce qui est accessoire.</w:t>
      </w:r>
    </w:p>
    <w:p w14:paraId="1F334D0D" w14:textId="77777777" w:rsidR="00706230" w:rsidRPr="006A22C0" w:rsidRDefault="00706230" w:rsidP="00706230">
      <w:pPr>
        <w:pBdr>
          <w:top w:val="single" w:sz="4" w:space="1" w:color="auto"/>
          <w:left w:val="single" w:sz="4" w:space="4" w:color="auto"/>
          <w:bottom w:val="single" w:sz="4" w:space="1" w:color="auto"/>
          <w:right w:val="single" w:sz="4" w:space="4" w:color="auto"/>
        </w:pBdr>
        <w:jc w:val="both"/>
        <w:rPr>
          <w:sz w:val="20"/>
          <w:szCs w:val="20"/>
        </w:rPr>
      </w:pPr>
      <w:r w:rsidRPr="006A22C0">
        <w:rPr>
          <w:sz w:val="20"/>
          <w:szCs w:val="20"/>
        </w:rPr>
        <w:t>Ne rien apprendre est idiot.</w:t>
      </w:r>
      <w:r>
        <w:rPr>
          <w:sz w:val="20"/>
          <w:szCs w:val="20"/>
        </w:rPr>
        <w:t xml:space="preserve"> </w:t>
      </w:r>
      <w:r w:rsidRPr="006A22C0">
        <w:rPr>
          <w:sz w:val="20"/>
          <w:szCs w:val="20"/>
        </w:rPr>
        <w:t>Tout apprendre est impossible, sauf pour un surdoué.</w:t>
      </w:r>
    </w:p>
    <w:p w14:paraId="0E1F9B88" w14:textId="77777777" w:rsidR="00706230" w:rsidRPr="006A22C0" w:rsidRDefault="00706230" w:rsidP="00706230">
      <w:pPr>
        <w:pBdr>
          <w:top w:val="single" w:sz="4" w:space="1" w:color="auto"/>
          <w:left w:val="single" w:sz="4" w:space="4" w:color="auto"/>
          <w:bottom w:val="single" w:sz="4" w:space="1" w:color="auto"/>
          <w:right w:val="single" w:sz="4" w:space="4" w:color="auto"/>
        </w:pBdr>
        <w:jc w:val="both"/>
        <w:rPr>
          <w:sz w:val="20"/>
          <w:szCs w:val="20"/>
        </w:rPr>
      </w:pPr>
      <w:r w:rsidRPr="006A22C0">
        <w:rPr>
          <w:sz w:val="20"/>
          <w:szCs w:val="20"/>
        </w:rPr>
        <w:t>Arrêtez de jouer aux surdoués…</w:t>
      </w:r>
    </w:p>
    <w:p w14:paraId="6D9E5F89" w14:textId="77777777" w:rsidR="00706230" w:rsidRPr="006A22C0" w:rsidRDefault="00706230" w:rsidP="00706230">
      <w:pPr>
        <w:pBdr>
          <w:top w:val="single" w:sz="4" w:space="1" w:color="auto"/>
          <w:left w:val="single" w:sz="4" w:space="4" w:color="auto"/>
          <w:bottom w:val="single" w:sz="4" w:space="1" w:color="auto"/>
          <w:right w:val="single" w:sz="4" w:space="4" w:color="auto"/>
        </w:pBdr>
        <w:jc w:val="both"/>
        <w:rPr>
          <w:sz w:val="20"/>
          <w:szCs w:val="20"/>
        </w:rPr>
      </w:pPr>
      <w:r w:rsidRPr="006A22C0">
        <w:rPr>
          <w:sz w:val="20"/>
          <w:szCs w:val="20"/>
        </w:rPr>
        <w:t>Apprenez l’essentiel et apprenez à</w:t>
      </w:r>
      <w:r>
        <w:rPr>
          <w:sz w:val="20"/>
          <w:szCs w:val="20"/>
        </w:rPr>
        <w:t xml:space="preserve"> sélectionner l’essentiel</w:t>
      </w:r>
      <w:r w:rsidRPr="006A22C0">
        <w:rPr>
          <w:sz w:val="20"/>
          <w:szCs w:val="20"/>
        </w:rPr>
        <w:t>.</w:t>
      </w:r>
      <w:r>
        <w:rPr>
          <w:sz w:val="20"/>
          <w:szCs w:val="20"/>
        </w:rPr>
        <w:t xml:space="preserve"> Soyez réalistes et pragmatiques.</w:t>
      </w:r>
    </w:p>
    <w:p w14:paraId="6FC3EE46" w14:textId="77777777" w:rsidR="00706230" w:rsidRPr="00706230" w:rsidRDefault="00706230" w:rsidP="00706230">
      <w:pPr>
        <w:jc w:val="both"/>
        <w:rPr>
          <w:sz w:val="18"/>
          <w:szCs w:val="18"/>
        </w:rPr>
      </w:pPr>
    </w:p>
    <w:p w14:paraId="4A98D5A9" w14:textId="77777777" w:rsidR="00706230" w:rsidRPr="00706230" w:rsidRDefault="00706230" w:rsidP="00706230">
      <w:pPr>
        <w:jc w:val="both"/>
        <w:rPr>
          <w:sz w:val="18"/>
          <w:szCs w:val="18"/>
        </w:rPr>
      </w:pPr>
    </w:p>
    <w:p w14:paraId="64499354" w14:textId="77777777" w:rsidR="00706230" w:rsidRPr="00FB35E1" w:rsidRDefault="00706230" w:rsidP="00706230">
      <w:pPr>
        <w:jc w:val="both"/>
        <w:rPr>
          <w:b/>
          <w:bCs/>
          <w:sz w:val="28"/>
          <w:szCs w:val="28"/>
        </w:rPr>
      </w:pPr>
      <w:r>
        <w:rPr>
          <w:sz w:val="28"/>
          <w:szCs w:val="28"/>
        </w:rPr>
        <w:t xml:space="preserve">Tant que j’y suis, je vous donne les éléments à retenir sur </w:t>
      </w:r>
      <w:r w:rsidRPr="00FB35E1">
        <w:rPr>
          <w:b/>
          <w:bCs/>
          <w:sz w:val="28"/>
          <w:szCs w:val="28"/>
        </w:rPr>
        <w:t>la structure des PO.</w:t>
      </w:r>
    </w:p>
    <w:p w14:paraId="75A5DCAC" w14:textId="77777777" w:rsidR="00706230" w:rsidRDefault="00706230" w:rsidP="00706230">
      <w:pPr>
        <w:jc w:val="both"/>
        <w:rPr>
          <w:sz w:val="28"/>
          <w:szCs w:val="28"/>
        </w:rPr>
      </w:pPr>
      <w:r>
        <w:rPr>
          <w:sz w:val="28"/>
          <w:szCs w:val="28"/>
        </w:rPr>
        <w:t>En effet, c’est également au programme.</w:t>
      </w:r>
    </w:p>
    <w:p w14:paraId="770FA68C" w14:textId="77777777" w:rsidR="00706230" w:rsidRDefault="00706230" w:rsidP="00706230">
      <w:pPr>
        <w:jc w:val="both"/>
        <w:rPr>
          <w:sz w:val="28"/>
          <w:szCs w:val="28"/>
        </w:rPr>
      </w:pPr>
    </w:p>
    <w:p w14:paraId="2E7530A3" w14:textId="77777777" w:rsidR="00706230" w:rsidRDefault="00706230" w:rsidP="00706230">
      <w:pPr>
        <w:jc w:val="both"/>
        <w:rPr>
          <w:sz w:val="28"/>
          <w:szCs w:val="28"/>
        </w:rPr>
      </w:pPr>
      <w:r>
        <w:rPr>
          <w:sz w:val="28"/>
          <w:szCs w:val="28"/>
        </w:rPr>
        <w:t xml:space="preserve">On part du taux de PO de </w:t>
      </w:r>
      <w:r w:rsidRPr="00FB35E1">
        <w:rPr>
          <w:b/>
          <w:bCs/>
          <w:sz w:val="28"/>
          <w:szCs w:val="28"/>
        </w:rPr>
        <w:t>46,</w:t>
      </w:r>
      <w:r>
        <w:rPr>
          <w:b/>
          <w:bCs/>
          <w:sz w:val="28"/>
          <w:szCs w:val="28"/>
        </w:rPr>
        <w:t>1</w:t>
      </w:r>
      <w:r w:rsidRPr="00FB35E1">
        <w:rPr>
          <w:b/>
          <w:bCs/>
          <w:sz w:val="28"/>
          <w:szCs w:val="28"/>
        </w:rPr>
        <w:t>%</w:t>
      </w:r>
      <w:r>
        <w:rPr>
          <w:sz w:val="28"/>
          <w:szCs w:val="28"/>
        </w:rPr>
        <w:t xml:space="preserve"> du PIB ce qui fait un peu plus de 1 000 milliards d’€ 2018</w:t>
      </w:r>
    </w:p>
    <w:p w14:paraId="60D7A6B8" w14:textId="77777777" w:rsidR="00706230" w:rsidRDefault="00706230" w:rsidP="00706230">
      <w:pPr>
        <w:jc w:val="both"/>
        <w:rPr>
          <w:sz w:val="28"/>
          <w:szCs w:val="28"/>
        </w:rPr>
      </w:pPr>
      <w:r>
        <w:rPr>
          <w:sz w:val="28"/>
          <w:szCs w:val="28"/>
        </w:rPr>
        <w:t>Les PO sont composés de 2 catégories juridiques :</w:t>
      </w:r>
    </w:p>
    <w:p w14:paraId="4C23C1F3" w14:textId="77777777" w:rsidR="00706230" w:rsidRDefault="00706230" w:rsidP="00706230">
      <w:pPr>
        <w:jc w:val="both"/>
        <w:rPr>
          <w:sz w:val="28"/>
          <w:szCs w:val="28"/>
        </w:rPr>
      </w:pPr>
      <w:r>
        <w:rPr>
          <w:sz w:val="28"/>
          <w:szCs w:val="28"/>
        </w:rPr>
        <w:t xml:space="preserve">1°) </w:t>
      </w:r>
      <w:r w:rsidRPr="0080753F">
        <w:rPr>
          <w:sz w:val="28"/>
          <w:szCs w:val="28"/>
          <w:u w:val="single"/>
        </w:rPr>
        <w:t>Les cotisations sociales</w:t>
      </w:r>
      <w:r>
        <w:rPr>
          <w:sz w:val="28"/>
          <w:szCs w:val="28"/>
        </w:rPr>
        <w:t xml:space="preserve"> = </w:t>
      </w:r>
      <w:r w:rsidRPr="00FB35E1">
        <w:rPr>
          <w:b/>
          <w:bCs/>
          <w:sz w:val="28"/>
          <w:szCs w:val="28"/>
        </w:rPr>
        <w:t>1</w:t>
      </w:r>
      <w:r>
        <w:rPr>
          <w:b/>
          <w:bCs/>
          <w:sz w:val="28"/>
          <w:szCs w:val="28"/>
        </w:rPr>
        <w:t>6,9</w:t>
      </w:r>
      <w:r w:rsidRPr="00FB35E1">
        <w:rPr>
          <w:b/>
          <w:bCs/>
          <w:sz w:val="28"/>
          <w:szCs w:val="28"/>
        </w:rPr>
        <w:t>%</w:t>
      </w:r>
      <w:r>
        <w:rPr>
          <w:sz w:val="28"/>
          <w:szCs w:val="28"/>
        </w:rPr>
        <w:t xml:space="preserve"> </w:t>
      </w:r>
      <w:r w:rsidRPr="00FB35E1">
        <w:rPr>
          <w:b/>
          <w:bCs/>
          <w:sz w:val="28"/>
          <w:szCs w:val="28"/>
        </w:rPr>
        <w:t>du PIB</w:t>
      </w:r>
      <w:r>
        <w:rPr>
          <w:sz w:val="28"/>
          <w:szCs w:val="28"/>
        </w:rPr>
        <w:t>, la France est championne du monde !</w:t>
      </w:r>
    </w:p>
    <w:p w14:paraId="12D470B4" w14:textId="77777777" w:rsidR="00706230" w:rsidRDefault="00706230" w:rsidP="00706230">
      <w:pPr>
        <w:jc w:val="both"/>
        <w:rPr>
          <w:sz w:val="28"/>
          <w:szCs w:val="28"/>
        </w:rPr>
      </w:pPr>
      <w:r>
        <w:rPr>
          <w:sz w:val="28"/>
          <w:szCs w:val="28"/>
        </w:rPr>
        <w:t xml:space="preserve">Même l’Allemagne n’est qu’à 14% et le RU et les États-Unis 6%. </w:t>
      </w:r>
    </w:p>
    <w:p w14:paraId="7AF472AB" w14:textId="77777777" w:rsidR="00706230" w:rsidRDefault="00706230" w:rsidP="00706230">
      <w:pPr>
        <w:jc w:val="both"/>
        <w:rPr>
          <w:sz w:val="28"/>
          <w:szCs w:val="28"/>
        </w:rPr>
      </w:pPr>
      <w:r>
        <w:rPr>
          <w:sz w:val="28"/>
          <w:szCs w:val="28"/>
        </w:rPr>
        <w:t xml:space="preserve">2°) </w:t>
      </w:r>
      <w:r w:rsidRPr="0080753F">
        <w:rPr>
          <w:sz w:val="28"/>
          <w:szCs w:val="28"/>
          <w:u w:val="single"/>
        </w:rPr>
        <w:t>La pression fiscale</w:t>
      </w:r>
      <w:r>
        <w:rPr>
          <w:sz w:val="28"/>
          <w:szCs w:val="28"/>
        </w:rPr>
        <w:t xml:space="preserve"> = </w:t>
      </w:r>
      <w:r w:rsidRPr="00FB35E1">
        <w:rPr>
          <w:b/>
          <w:bCs/>
          <w:sz w:val="28"/>
          <w:szCs w:val="28"/>
        </w:rPr>
        <w:t>29,2%</w:t>
      </w:r>
      <w:r>
        <w:rPr>
          <w:sz w:val="28"/>
          <w:szCs w:val="28"/>
        </w:rPr>
        <w:t xml:space="preserve"> </w:t>
      </w:r>
      <w:r w:rsidRPr="00FB35E1">
        <w:rPr>
          <w:b/>
          <w:bCs/>
          <w:sz w:val="28"/>
          <w:szCs w:val="28"/>
        </w:rPr>
        <w:t>du PIB</w:t>
      </w:r>
      <w:r>
        <w:rPr>
          <w:sz w:val="28"/>
          <w:szCs w:val="28"/>
        </w:rPr>
        <w:t>, c’est la somme de tous les impôts/PIB :</w:t>
      </w:r>
    </w:p>
    <w:p w14:paraId="0EDFFCB1" w14:textId="77777777" w:rsidR="00706230" w:rsidRDefault="00706230" w:rsidP="00706230">
      <w:pPr>
        <w:jc w:val="both"/>
        <w:rPr>
          <w:sz w:val="28"/>
          <w:szCs w:val="28"/>
        </w:rPr>
      </w:pPr>
      <w:r>
        <w:rPr>
          <w:sz w:val="28"/>
          <w:szCs w:val="28"/>
        </w:rPr>
        <w:t>On ajoute les impôts d’État + impôts sociaux + impôts locaux + autres impôts.</w:t>
      </w:r>
    </w:p>
    <w:p w14:paraId="41EDBB70" w14:textId="77777777" w:rsidR="00706230" w:rsidRDefault="00706230" w:rsidP="00706230">
      <w:pPr>
        <w:jc w:val="both"/>
        <w:rPr>
          <w:sz w:val="28"/>
          <w:szCs w:val="28"/>
        </w:rPr>
      </w:pPr>
    </w:p>
    <w:p w14:paraId="583C86D0" w14:textId="77777777" w:rsidR="00706230" w:rsidRDefault="00706230" w:rsidP="00706230">
      <w:pPr>
        <w:jc w:val="both"/>
        <w:rPr>
          <w:sz w:val="28"/>
          <w:szCs w:val="28"/>
        </w:rPr>
      </w:pPr>
      <w:r>
        <w:rPr>
          <w:sz w:val="28"/>
          <w:szCs w:val="28"/>
        </w:rPr>
        <w:t>Les PO sont distribués aux différents budgets publics pour couvrir leurs recettes :</w:t>
      </w:r>
    </w:p>
    <w:p w14:paraId="250CAC36" w14:textId="77777777" w:rsidR="00706230" w:rsidRPr="00FB35E1" w:rsidRDefault="00706230" w:rsidP="00706230">
      <w:pPr>
        <w:jc w:val="both"/>
        <w:rPr>
          <w:b/>
          <w:bCs/>
          <w:sz w:val="28"/>
          <w:szCs w:val="28"/>
        </w:rPr>
      </w:pPr>
      <w:r>
        <w:rPr>
          <w:sz w:val="28"/>
          <w:szCs w:val="28"/>
        </w:rPr>
        <w:t xml:space="preserve">1°) Les ASSO reçoivent le plus avec 16,9% de CS + 8% d’impôts (CSG etc.) = </w:t>
      </w:r>
      <w:r w:rsidRPr="00FB35E1">
        <w:rPr>
          <w:b/>
          <w:bCs/>
          <w:sz w:val="28"/>
          <w:szCs w:val="28"/>
        </w:rPr>
        <w:t>2</w:t>
      </w:r>
      <w:r>
        <w:rPr>
          <w:b/>
          <w:bCs/>
          <w:sz w:val="28"/>
          <w:szCs w:val="28"/>
        </w:rPr>
        <w:t>4,9</w:t>
      </w:r>
      <w:r w:rsidRPr="00FB35E1">
        <w:rPr>
          <w:b/>
          <w:bCs/>
          <w:sz w:val="28"/>
          <w:szCs w:val="28"/>
        </w:rPr>
        <w:t>% du PIB</w:t>
      </w:r>
      <w:r>
        <w:rPr>
          <w:b/>
          <w:bCs/>
          <w:sz w:val="28"/>
          <w:szCs w:val="28"/>
        </w:rPr>
        <w:t>.</w:t>
      </w:r>
    </w:p>
    <w:p w14:paraId="72375481" w14:textId="77777777" w:rsidR="00706230" w:rsidRPr="00FB35E1" w:rsidRDefault="00706230" w:rsidP="00706230">
      <w:pPr>
        <w:jc w:val="both"/>
        <w:rPr>
          <w:b/>
          <w:bCs/>
          <w:sz w:val="28"/>
          <w:szCs w:val="28"/>
        </w:rPr>
      </w:pPr>
      <w:r>
        <w:rPr>
          <w:sz w:val="28"/>
          <w:szCs w:val="28"/>
        </w:rPr>
        <w:t xml:space="preserve">2°) L’État + les ODAC (Organismes divers d’administration centrale, qui sont pour plus de 90% des établissements publics) qui composent les administrations publiques centrales (APUC) reçoivent = </w:t>
      </w:r>
      <w:r w:rsidRPr="00FB35E1">
        <w:rPr>
          <w:b/>
          <w:bCs/>
          <w:sz w:val="28"/>
          <w:szCs w:val="28"/>
        </w:rPr>
        <w:t>15% du PIB</w:t>
      </w:r>
      <w:r>
        <w:rPr>
          <w:b/>
          <w:bCs/>
          <w:sz w:val="28"/>
          <w:szCs w:val="28"/>
        </w:rPr>
        <w:t>.</w:t>
      </w:r>
    </w:p>
    <w:p w14:paraId="4FB1BE3E" w14:textId="77777777" w:rsidR="00706230" w:rsidRDefault="00706230" w:rsidP="00706230">
      <w:pPr>
        <w:jc w:val="both"/>
        <w:rPr>
          <w:sz w:val="28"/>
          <w:szCs w:val="28"/>
        </w:rPr>
      </w:pPr>
      <w:r>
        <w:rPr>
          <w:sz w:val="28"/>
          <w:szCs w:val="28"/>
        </w:rPr>
        <w:t xml:space="preserve">3°) Les APUL reçoivent </w:t>
      </w:r>
      <w:r w:rsidRPr="00F624FA">
        <w:rPr>
          <w:b/>
          <w:bCs/>
          <w:sz w:val="28"/>
          <w:szCs w:val="28"/>
        </w:rPr>
        <w:t>6% du PIB</w:t>
      </w:r>
      <w:r>
        <w:rPr>
          <w:sz w:val="28"/>
          <w:szCs w:val="28"/>
        </w:rPr>
        <w:t xml:space="preserve"> (impôts locaux, CET + TF + TH principalement).</w:t>
      </w:r>
    </w:p>
    <w:p w14:paraId="70DC2138" w14:textId="77777777" w:rsidR="00706230" w:rsidRDefault="00706230" w:rsidP="00706230">
      <w:pPr>
        <w:jc w:val="both"/>
        <w:rPr>
          <w:sz w:val="28"/>
          <w:szCs w:val="28"/>
        </w:rPr>
      </w:pPr>
      <w:r>
        <w:rPr>
          <w:sz w:val="28"/>
          <w:szCs w:val="28"/>
        </w:rPr>
        <w:t>4°) L’UE reçoit 0,2% du PIB (participation de la France au budget de l’UE).</w:t>
      </w:r>
    </w:p>
    <w:p w14:paraId="47F3533C" w14:textId="77777777" w:rsidR="00706230" w:rsidRDefault="00706230" w:rsidP="00706230">
      <w:pPr>
        <w:jc w:val="both"/>
        <w:rPr>
          <w:sz w:val="28"/>
          <w:szCs w:val="28"/>
        </w:rPr>
      </w:pPr>
    </w:p>
    <w:p w14:paraId="5CCD023B" w14:textId="77777777" w:rsidR="00706230" w:rsidRDefault="00706230" w:rsidP="00706230">
      <w:pPr>
        <w:jc w:val="both"/>
        <w:rPr>
          <w:sz w:val="28"/>
          <w:szCs w:val="28"/>
        </w:rPr>
      </w:pPr>
      <w:r>
        <w:rPr>
          <w:sz w:val="28"/>
          <w:szCs w:val="28"/>
        </w:rPr>
        <w:t xml:space="preserve">Faites votre addition = 24,9 + 15 = 39,9 + 6 + 0,2 = </w:t>
      </w:r>
      <w:r w:rsidRPr="00F624FA">
        <w:rPr>
          <w:b/>
          <w:bCs/>
          <w:sz w:val="28"/>
          <w:szCs w:val="28"/>
          <w:u w:val="single"/>
        </w:rPr>
        <w:t>46,1%</w:t>
      </w:r>
      <w:r>
        <w:rPr>
          <w:sz w:val="28"/>
          <w:szCs w:val="28"/>
        </w:rPr>
        <w:t xml:space="preserve"> c’est simple comme Bonjour !</w:t>
      </w:r>
    </w:p>
    <w:p w14:paraId="3FDB7EAE" w14:textId="77777777" w:rsidR="00706230" w:rsidRDefault="00706230" w:rsidP="00706230">
      <w:pPr>
        <w:jc w:val="both"/>
        <w:rPr>
          <w:sz w:val="28"/>
          <w:szCs w:val="28"/>
        </w:rPr>
      </w:pPr>
    </w:p>
    <w:p w14:paraId="6297AC9B" w14:textId="77777777" w:rsidR="00706230" w:rsidRPr="00FB35E1" w:rsidRDefault="00706230" w:rsidP="00706230">
      <w:pPr>
        <w:jc w:val="both"/>
        <w:rPr>
          <w:b/>
          <w:bCs/>
          <w:sz w:val="28"/>
          <w:szCs w:val="28"/>
          <w:u w:val="single"/>
        </w:rPr>
      </w:pPr>
      <w:r w:rsidRPr="00FB35E1">
        <w:rPr>
          <w:b/>
          <w:bCs/>
          <w:sz w:val="28"/>
          <w:szCs w:val="28"/>
          <w:u w:val="single"/>
        </w:rPr>
        <w:t>2 observations importantes :</w:t>
      </w:r>
    </w:p>
    <w:p w14:paraId="6FC59684" w14:textId="77777777" w:rsidR="00706230" w:rsidRPr="00DA382F" w:rsidRDefault="00706230" w:rsidP="00706230">
      <w:pPr>
        <w:jc w:val="both"/>
      </w:pPr>
      <w:r w:rsidRPr="00DA382F">
        <w:t>1°) ces chiffres de l’OCDE qui sont plus fiables que ceux d’EUROSTAT et que ceux de l’INSEE paraissent en décembre. Donc les chiffres de PO que je vous donne ici sont ceux de 201</w:t>
      </w:r>
      <w:r>
        <w:t>8</w:t>
      </w:r>
      <w:r w:rsidRPr="00DA382F">
        <w:t xml:space="preserve"> publiés en décembre 201</w:t>
      </w:r>
      <w:r>
        <w:t>9</w:t>
      </w:r>
      <w:r w:rsidRPr="00DA382F">
        <w:t xml:space="preserve">. </w:t>
      </w:r>
    </w:p>
    <w:p w14:paraId="0A2C287D" w14:textId="77777777" w:rsidR="00706230" w:rsidRDefault="00706230" w:rsidP="00706230">
      <w:pPr>
        <w:jc w:val="both"/>
      </w:pPr>
    </w:p>
    <w:p w14:paraId="5B19F17D" w14:textId="77777777" w:rsidR="00706230" w:rsidRDefault="00706230" w:rsidP="00706230">
      <w:pPr>
        <w:jc w:val="both"/>
      </w:pPr>
      <w:r w:rsidRPr="00DA382F">
        <w:t xml:space="preserve">2°) Les chiffres du palmarès de la liste sont les vrais chiffres de l’OCDE avec un chiffre après la virgule. Mais pour la structure des PO, j’ai </w:t>
      </w:r>
      <w:r>
        <w:t>simplifié</w:t>
      </w:r>
      <w:r w:rsidRPr="00DA382F">
        <w:t xml:space="preserve"> les choses afin de vous éviter d’apprendre des chiffres trop détaillés ce qui ne sert à rien pour réussir le</w:t>
      </w:r>
      <w:r>
        <w:t>s concours.</w:t>
      </w:r>
    </w:p>
    <w:p w14:paraId="0D523D74" w14:textId="77777777" w:rsidR="00706230" w:rsidRDefault="00706230" w:rsidP="00706230">
      <w:pPr>
        <w:jc w:val="both"/>
      </w:pPr>
      <w:r w:rsidRPr="00DA382F">
        <w:tab/>
      </w:r>
      <w:r w:rsidRPr="00DA382F">
        <w:tab/>
      </w:r>
      <w:r w:rsidRPr="00DA382F">
        <w:tab/>
      </w:r>
      <w:r w:rsidRPr="00DA382F">
        <w:tab/>
      </w:r>
    </w:p>
    <w:p w14:paraId="6848B2AE" w14:textId="2B7FA075" w:rsidR="000364EE" w:rsidRPr="00706230" w:rsidRDefault="00706230" w:rsidP="00706230">
      <w:pPr>
        <w:jc w:val="both"/>
        <w:rPr>
          <w:sz w:val="28"/>
          <w:szCs w:val="28"/>
        </w:rPr>
      </w:pPr>
      <w:r w:rsidRPr="00DA382F">
        <w:t>Si vous voulez bien travailler, simplifiez-vous la vie ! </w:t>
      </w:r>
      <w:r>
        <w:t xml:space="preserve"> </w:t>
      </w:r>
      <w:r w:rsidRPr="00FB35E1">
        <w:rPr>
          <w:sz w:val="28"/>
          <w:szCs w:val="28"/>
        </w:rPr>
        <w:sym w:font="Wingdings" w:char="F04A"/>
      </w:r>
    </w:p>
    <w:sectPr w:rsidR="000364EE" w:rsidRPr="00706230" w:rsidSect="00096429">
      <w:footerReference w:type="default" r:id="rId6"/>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170DA" w14:textId="77777777" w:rsidR="00DD7D91" w:rsidRDefault="00DD7D91" w:rsidP="001302BE">
      <w:r>
        <w:separator/>
      </w:r>
    </w:p>
  </w:endnote>
  <w:endnote w:type="continuationSeparator" w:id="0">
    <w:p w14:paraId="7C91042B" w14:textId="77777777" w:rsidR="00DD7D91" w:rsidRDefault="00DD7D91" w:rsidP="0013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DB0D9" w14:textId="30D0D7F2" w:rsidR="001D26FF" w:rsidRDefault="001D26FF" w:rsidP="001D26FF">
    <w:pPr>
      <w:pStyle w:val="Pieddepage"/>
      <w:jc w:val="center"/>
    </w:pPr>
    <w:r>
      <w:t>IPAG de l’Université de Montpellier, préparation aux concours de BERCY et des IRA, 1</w:t>
    </w:r>
    <w:r w:rsidRPr="001D26FF">
      <w:rPr>
        <w:vertAlign w:val="superscript"/>
      </w:rPr>
      <w:t>er</w:t>
    </w:r>
    <w:r>
      <w:t xml:space="preserve"> janvier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86298" w14:textId="77777777" w:rsidR="00DD7D91" w:rsidRDefault="00DD7D91" w:rsidP="001302BE">
      <w:r>
        <w:separator/>
      </w:r>
    </w:p>
  </w:footnote>
  <w:footnote w:type="continuationSeparator" w:id="0">
    <w:p w14:paraId="048CC14E" w14:textId="77777777" w:rsidR="00DD7D91" w:rsidRDefault="00DD7D91" w:rsidP="001302BE">
      <w:r>
        <w:continuationSeparator/>
      </w:r>
    </w:p>
  </w:footnote>
  <w:footnote w:id="1">
    <w:p w14:paraId="131F7021" w14:textId="356E4C37" w:rsidR="00C43CCC" w:rsidRDefault="00C43CCC">
      <w:pPr>
        <w:pStyle w:val="Notedebasdepage"/>
      </w:pPr>
      <w:r>
        <w:rPr>
          <w:rStyle w:val="Appelnotedebasdep"/>
        </w:rPr>
        <w:footnoteRef/>
      </w:r>
      <w:r>
        <w:t xml:space="preserve"> 36 États membres de l’OCDE dont 23 membres de l’UE</w:t>
      </w:r>
      <w:r w:rsidR="001D26FF">
        <w:t>-28</w:t>
      </w:r>
      <w:r>
        <w:t xml:space="preserve"> </w:t>
      </w:r>
      <w:r w:rsidRPr="001D26FF">
        <w:rPr>
          <w:b/>
        </w:rPr>
        <w:t>(en gras)</w:t>
      </w:r>
      <w:r>
        <w:t xml:space="preserve"> + 13 autres États. </w:t>
      </w:r>
    </w:p>
  </w:footnote>
  <w:footnote w:id="2">
    <w:p w14:paraId="553866E7" w14:textId="20E8486C" w:rsidR="00F9591B" w:rsidRDefault="007A1AA4">
      <w:pPr>
        <w:pStyle w:val="Notedebasdepage"/>
      </w:pPr>
      <w:r>
        <w:rPr>
          <w:rStyle w:val="Appelnotedebasdep"/>
        </w:rPr>
        <w:footnoteRef/>
      </w:r>
      <w:r>
        <w:t xml:space="preserve"> Chiffre de 2017. Celui de 2018 n’est pas encore connu des services de l’OCDE.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29"/>
    <w:rsid w:val="000364EE"/>
    <w:rsid w:val="00096429"/>
    <w:rsid w:val="001302BE"/>
    <w:rsid w:val="0017559D"/>
    <w:rsid w:val="001D26FF"/>
    <w:rsid w:val="001F08A8"/>
    <w:rsid w:val="00650469"/>
    <w:rsid w:val="00706230"/>
    <w:rsid w:val="007A1AA4"/>
    <w:rsid w:val="00981B7D"/>
    <w:rsid w:val="009E6F3F"/>
    <w:rsid w:val="009F5645"/>
    <w:rsid w:val="00A662D2"/>
    <w:rsid w:val="00A713A4"/>
    <w:rsid w:val="00AF20C2"/>
    <w:rsid w:val="00B31E61"/>
    <w:rsid w:val="00BC5801"/>
    <w:rsid w:val="00C43CCC"/>
    <w:rsid w:val="00DD7D91"/>
    <w:rsid w:val="00E30D91"/>
    <w:rsid w:val="00F62B31"/>
    <w:rsid w:val="00F9591B"/>
    <w:rsid w:val="00F975A4"/>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31F8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1302BE"/>
  </w:style>
  <w:style w:type="character" w:customStyle="1" w:styleId="NotedebasdepageCar">
    <w:name w:val="Note de bas de page Car"/>
    <w:basedOn w:val="Policepardfaut"/>
    <w:link w:val="Notedebasdepage"/>
    <w:uiPriority w:val="99"/>
    <w:rsid w:val="001302BE"/>
  </w:style>
  <w:style w:type="character" w:styleId="Appelnotedebasdep">
    <w:name w:val="footnote reference"/>
    <w:basedOn w:val="Policepardfaut"/>
    <w:uiPriority w:val="99"/>
    <w:unhideWhenUsed/>
    <w:rsid w:val="001302BE"/>
    <w:rPr>
      <w:vertAlign w:val="superscript"/>
    </w:rPr>
  </w:style>
  <w:style w:type="paragraph" w:styleId="En-tte">
    <w:name w:val="header"/>
    <w:basedOn w:val="Normal"/>
    <w:link w:val="En-tteCar"/>
    <w:uiPriority w:val="99"/>
    <w:unhideWhenUsed/>
    <w:rsid w:val="001D26FF"/>
    <w:pPr>
      <w:tabs>
        <w:tab w:val="center" w:pos="4536"/>
        <w:tab w:val="right" w:pos="9072"/>
      </w:tabs>
    </w:pPr>
  </w:style>
  <w:style w:type="character" w:customStyle="1" w:styleId="En-tteCar">
    <w:name w:val="En-tête Car"/>
    <w:basedOn w:val="Policepardfaut"/>
    <w:link w:val="En-tte"/>
    <w:uiPriority w:val="99"/>
    <w:rsid w:val="001D26FF"/>
  </w:style>
  <w:style w:type="paragraph" w:styleId="Pieddepage">
    <w:name w:val="footer"/>
    <w:basedOn w:val="Normal"/>
    <w:link w:val="PieddepageCar"/>
    <w:uiPriority w:val="99"/>
    <w:unhideWhenUsed/>
    <w:rsid w:val="001D26FF"/>
    <w:pPr>
      <w:tabs>
        <w:tab w:val="center" w:pos="4536"/>
        <w:tab w:val="right" w:pos="9072"/>
      </w:tabs>
    </w:pPr>
  </w:style>
  <w:style w:type="character" w:customStyle="1" w:styleId="PieddepageCar">
    <w:name w:val="Pied de page Car"/>
    <w:basedOn w:val="Policepardfaut"/>
    <w:link w:val="Pieddepage"/>
    <w:uiPriority w:val="99"/>
    <w:rsid w:val="001D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3218</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cp:lastPrinted>2020-01-01T15:03:00Z</cp:lastPrinted>
  <dcterms:created xsi:type="dcterms:W3CDTF">2020-03-21T17:54:00Z</dcterms:created>
  <dcterms:modified xsi:type="dcterms:W3CDTF">2020-03-21T17:54:00Z</dcterms:modified>
</cp:coreProperties>
</file>