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0C0C18" w:rsidP="00325D61">
      <w:pPr>
        <w:pStyle w:val="Titre"/>
      </w:pPr>
      <w:r>
        <w:t>UNIVERSITE de MONTPELLIER</w:t>
      </w:r>
      <w:r w:rsidR="00BE4CAE">
        <w:t xml:space="preserve">      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AB3DE7">
        <w:t>SIAD</w:t>
      </w:r>
      <w:r w:rsidR="00BE4CAE">
        <w:t xml:space="preserve">  </w:t>
      </w:r>
      <w:r w:rsidR="000108E0">
        <w:t xml:space="preserve">    MONTPELLIER  </w:t>
      </w:r>
      <w:r w:rsidR="005B4A4E">
        <w:t xml:space="preserve">      </w:t>
      </w:r>
      <w:r w:rsidR="009115BC">
        <w:t>2017</w:t>
      </w:r>
      <w:r w:rsidR="00FF1C66">
        <w:t>-201</w:t>
      </w:r>
      <w:r w:rsidR="009115BC">
        <w:t>8</w:t>
      </w:r>
    </w:p>
    <w:p w:rsidR="000108E0" w:rsidRDefault="00AB3DE7">
      <w:pPr>
        <w:ind w:left="-540" w:right="-648"/>
        <w:rPr>
          <w:sz w:val="20"/>
        </w:rPr>
      </w:pPr>
      <w:r>
        <w:rPr>
          <w:sz w:val="20"/>
        </w:rPr>
        <w:t>Analyse</w:t>
      </w:r>
      <w:r w:rsidR="00BE4CAE">
        <w:rPr>
          <w:sz w:val="20"/>
        </w:rPr>
        <w:t xml:space="preserve"> Financière</w:t>
      </w:r>
      <w:r w:rsidR="002D0719">
        <w:rPr>
          <w:sz w:val="20"/>
        </w:rPr>
        <w:t xml:space="preserve"> des Risques</w:t>
      </w:r>
      <w:r w:rsidR="000C0C18">
        <w:rPr>
          <w:sz w:val="20"/>
        </w:rPr>
        <w:t xml:space="preserve">                                    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EB0381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 xml:space="preserve">Contrôle Terminal </w:t>
      </w:r>
      <w:r w:rsidR="000108E0">
        <w:rPr>
          <w:sz w:val="20"/>
        </w:rPr>
        <w:t xml:space="preserve">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9115BC">
        <w:rPr>
          <w:sz w:val="20"/>
        </w:rPr>
        <w:t xml:space="preserve"> et ordinateur</w:t>
      </w:r>
      <w:r w:rsidR="000D2D63">
        <w:rPr>
          <w:sz w:val="20"/>
        </w:rPr>
        <w:t xml:space="preserve">, durée </w:t>
      </w:r>
      <w:r w:rsidR="00AB3DE7">
        <w:rPr>
          <w:sz w:val="20"/>
        </w:rPr>
        <w:t xml:space="preserve">1 heure </w:t>
      </w:r>
    </w:p>
    <w:p w:rsidR="000108E0" w:rsidRDefault="000108E0">
      <w:pPr>
        <w:ind w:left="-540" w:right="-648"/>
        <w:rPr>
          <w:sz w:val="12"/>
          <w:szCs w:val="12"/>
        </w:rPr>
      </w:pPr>
    </w:p>
    <w:p w:rsidR="006A1455" w:rsidRDefault="006A1455" w:rsidP="006A1455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</w:t>
      </w:r>
      <w:r w:rsidR="009115BC">
        <w:rPr>
          <w:b/>
          <w:sz w:val="22"/>
          <w:szCs w:val="12"/>
          <w:u w:val="single"/>
        </w:rPr>
        <w:t xml:space="preserve"> N°1</w:t>
      </w:r>
    </w:p>
    <w:p w:rsidR="006A1455" w:rsidRDefault="006A1455" w:rsidP="006A1455">
      <w:pPr>
        <w:ind w:right="-648"/>
        <w:rPr>
          <w:sz w:val="22"/>
        </w:rPr>
      </w:pPr>
    </w:p>
    <w:p w:rsidR="00A71F25" w:rsidRDefault="00A71F25" w:rsidP="006A1455">
      <w:pPr>
        <w:ind w:right="-648"/>
        <w:rPr>
          <w:sz w:val="22"/>
        </w:rPr>
      </w:pPr>
      <w:r>
        <w:rPr>
          <w:sz w:val="22"/>
        </w:rPr>
        <w:t>Vous disposez des informations suivantes</w:t>
      </w:r>
      <w:r w:rsidR="009115BC">
        <w:rPr>
          <w:sz w:val="22"/>
        </w:rPr>
        <w:t> :</w:t>
      </w:r>
    </w:p>
    <w:p w:rsidR="009115BC" w:rsidRDefault="009115BC" w:rsidP="006A1455">
      <w:pPr>
        <w:ind w:right="-648"/>
        <w:rPr>
          <w:sz w:val="22"/>
        </w:rPr>
      </w:pPr>
      <w:r>
        <w:rPr>
          <w:sz w:val="22"/>
        </w:rPr>
        <w:t xml:space="preserve">  Prix du sous-jacent = 284€,   Taux d’intérêt = 3%/an, volatilité 28%/an et taux de dividende = 2%/an</w:t>
      </w:r>
    </w:p>
    <w:p w:rsidR="009115BC" w:rsidRDefault="009115BC" w:rsidP="006A1455">
      <w:pPr>
        <w:ind w:right="-648"/>
        <w:rPr>
          <w:sz w:val="22"/>
        </w:rPr>
      </w:pPr>
      <w:r>
        <w:rPr>
          <w:sz w:val="22"/>
        </w:rPr>
        <w:t xml:space="preserve">  Options :    Call A (E= 280€ et échéance 3 mois), Call B (E= 270€ et échéance 6 mois)</w:t>
      </w:r>
    </w:p>
    <w:p w:rsidR="009115BC" w:rsidRDefault="009115BC" w:rsidP="009115BC">
      <w:pPr>
        <w:ind w:right="-648"/>
        <w:rPr>
          <w:sz w:val="22"/>
        </w:rPr>
      </w:pPr>
      <w:r>
        <w:rPr>
          <w:sz w:val="22"/>
        </w:rPr>
        <w:t xml:space="preserve">                     Put C  (E= 280€ et échéance 3 mois), Put D </w:t>
      </w:r>
      <w:r w:rsidR="00BC0EB4">
        <w:rPr>
          <w:sz w:val="22"/>
        </w:rPr>
        <w:t xml:space="preserve"> (E= 29</w:t>
      </w:r>
      <w:r>
        <w:rPr>
          <w:sz w:val="22"/>
        </w:rPr>
        <w:t>0€ et échéance 6 mois)</w:t>
      </w:r>
    </w:p>
    <w:p w:rsidR="00110DDD" w:rsidRDefault="00110DDD" w:rsidP="009115BC">
      <w:pPr>
        <w:ind w:right="-648"/>
        <w:rPr>
          <w:sz w:val="22"/>
        </w:rPr>
      </w:pPr>
    </w:p>
    <w:p w:rsidR="00110DDD" w:rsidRDefault="00AC3093" w:rsidP="00110DDD">
      <w:pPr>
        <w:ind w:right="-648"/>
        <w:jc w:val="center"/>
        <w:rPr>
          <w:sz w:val="22"/>
        </w:rPr>
      </w:pPr>
      <w:r w:rsidRPr="00AC3093">
        <w:rPr>
          <w:noProof/>
          <w:lang w:val="en-US" w:eastAsia="en-US"/>
        </w:rPr>
        <w:drawing>
          <wp:inline distT="0" distB="0" distL="0" distR="0">
            <wp:extent cx="3261360" cy="1074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32" cy="10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25" w:rsidRDefault="00A71F25" w:rsidP="009115BC">
      <w:pPr>
        <w:ind w:right="-648"/>
        <w:rPr>
          <w:sz w:val="22"/>
          <w:szCs w:val="12"/>
        </w:rPr>
      </w:pPr>
    </w:p>
    <w:p w:rsidR="00110DDD" w:rsidRDefault="00A71F25" w:rsidP="00110DDD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 w:rsidR="00BC0EB4">
        <w:rPr>
          <w:i/>
          <w:iCs/>
          <w:sz w:val="22"/>
        </w:rPr>
        <w:t>1</w:t>
      </w:r>
      <w:r>
        <w:rPr>
          <w:sz w:val="22"/>
        </w:rPr>
        <w:t xml:space="preserve"> : </w:t>
      </w:r>
      <w:r w:rsidR="00110DDD">
        <w:rPr>
          <w:sz w:val="22"/>
        </w:rPr>
        <w:t>Pour les 4 options,  donner la valeur, le Delta (∆), le Gamma (Γ) et le Véga (</w:t>
      </w:r>
      <w:r w:rsidR="00110DDD" w:rsidRPr="00110DDD">
        <w:rPr>
          <w:i/>
          <w:sz w:val="22"/>
        </w:rPr>
        <w:t>V</w:t>
      </w:r>
      <w:r w:rsidR="00110DDD">
        <w:rPr>
          <w:sz w:val="22"/>
        </w:rPr>
        <w:t>)</w:t>
      </w:r>
    </w:p>
    <w:p w:rsidR="00A71F25" w:rsidRDefault="00A71F25" w:rsidP="00110DDD">
      <w:pPr>
        <w:ind w:right="-648"/>
        <w:rPr>
          <w:sz w:val="22"/>
          <w:szCs w:val="12"/>
        </w:rPr>
      </w:pPr>
    </w:p>
    <w:tbl>
      <w:tblPr>
        <w:tblW w:w="6040" w:type="dxa"/>
        <w:tblInd w:w="1104" w:type="dxa"/>
        <w:tblLook w:val="04A0" w:firstRow="1" w:lastRow="0" w:firstColumn="1" w:lastColumn="0" w:noHBand="0" w:noVBand="1"/>
      </w:tblPr>
      <w:tblGrid>
        <w:gridCol w:w="1764"/>
        <w:gridCol w:w="928"/>
        <w:gridCol w:w="837"/>
        <w:gridCol w:w="837"/>
        <w:gridCol w:w="837"/>
        <w:gridCol w:w="837"/>
      </w:tblGrid>
      <w:tr w:rsidR="00E23F4B" w:rsidTr="00E23F4B">
        <w:trPr>
          <w:trHeight w:val="22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 w:rsidP="00E23F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Quantité détenue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Titres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 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 B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PUT C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PUT D</w:t>
            </w:r>
          </w:p>
        </w:tc>
      </w:tr>
      <w:tr w:rsidR="00E23F4B" w:rsidTr="00E23F4B">
        <w:trPr>
          <w:trHeight w:val="239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Portefeuille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-350</w:t>
            </w:r>
          </w:p>
        </w:tc>
      </w:tr>
      <w:tr w:rsidR="00E23F4B" w:rsidTr="00E23F4B">
        <w:trPr>
          <w:trHeight w:val="239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Portefeuille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</w:tr>
      <w:tr w:rsidR="00E23F4B" w:rsidTr="00E23F4B">
        <w:trPr>
          <w:trHeight w:val="239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Portefeuille 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4B" w:rsidRDefault="00E23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E23F4B" w:rsidRPr="00E23F4B" w:rsidRDefault="00E23F4B" w:rsidP="00110DDD">
      <w:pPr>
        <w:ind w:right="-648"/>
        <w:rPr>
          <w:sz w:val="16"/>
          <w:szCs w:val="16"/>
        </w:rPr>
      </w:pPr>
    </w:p>
    <w:p w:rsidR="00A71F25" w:rsidRPr="003F1821" w:rsidRDefault="003F1821" w:rsidP="008116EE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 w:rsidR="00110DDD">
        <w:rPr>
          <w:i/>
          <w:iCs/>
          <w:sz w:val="22"/>
        </w:rPr>
        <w:t>2</w:t>
      </w:r>
      <w:r>
        <w:rPr>
          <w:sz w:val="22"/>
        </w:rPr>
        <w:t xml:space="preserve"> : </w:t>
      </w:r>
      <w:r w:rsidR="00110DDD">
        <w:rPr>
          <w:sz w:val="22"/>
        </w:rPr>
        <w:t xml:space="preserve">Pour les 3 portefeuilles ci-dessus, </w:t>
      </w:r>
      <w:proofErr w:type="gramStart"/>
      <w:r w:rsidR="00110DDD">
        <w:rPr>
          <w:sz w:val="22"/>
        </w:rPr>
        <w:t>donner</w:t>
      </w:r>
      <w:proofErr w:type="gramEnd"/>
      <w:r w:rsidR="00110DDD">
        <w:rPr>
          <w:sz w:val="22"/>
        </w:rPr>
        <w:t xml:space="preserve"> la valeur, le Delta (∆), le Gamma (Γ) et le Véga (</w:t>
      </w:r>
      <w:r w:rsidR="00110DDD" w:rsidRPr="00110DDD">
        <w:rPr>
          <w:i/>
          <w:sz w:val="22"/>
        </w:rPr>
        <w:t>V</w:t>
      </w:r>
      <w:r w:rsidR="00110DDD">
        <w:rPr>
          <w:sz w:val="22"/>
        </w:rPr>
        <w:t>)</w:t>
      </w:r>
    </w:p>
    <w:p w:rsidR="003F1821" w:rsidRPr="00E23F4B" w:rsidRDefault="003F1821" w:rsidP="00A71F25">
      <w:pPr>
        <w:ind w:left="-540" w:right="-648" w:firstLine="540"/>
        <w:rPr>
          <w:sz w:val="16"/>
          <w:szCs w:val="16"/>
        </w:rPr>
      </w:pPr>
    </w:p>
    <w:p w:rsidR="003F1821" w:rsidRDefault="000B401B" w:rsidP="008116EE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 w:rsidR="00110DDD">
        <w:rPr>
          <w:i/>
          <w:iCs/>
          <w:sz w:val="22"/>
        </w:rPr>
        <w:t>3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: </w:t>
      </w:r>
      <w:r w:rsidR="00110DDD">
        <w:rPr>
          <w:sz w:val="22"/>
        </w:rPr>
        <w:t xml:space="preserve">Mettre le portefeuille 1  en delta-gamma neutre avec le Call B     </w:t>
      </w:r>
      <w:r w:rsidR="00110DDD">
        <w:rPr>
          <w:sz w:val="20"/>
        </w:rPr>
        <w:t>(Δ = 0, Γ = 0) ?</w:t>
      </w:r>
    </w:p>
    <w:p w:rsidR="00DF6769" w:rsidRPr="00E23F4B" w:rsidRDefault="00DF6769" w:rsidP="008116EE">
      <w:pPr>
        <w:ind w:left="-540" w:right="-648" w:firstLine="540"/>
        <w:rPr>
          <w:sz w:val="16"/>
          <w:szCs w:val="16"/>
        </w:rPr>
      </w:pPr>
    </w:p>
    <w:p w:rsidR="00DF6769" w:rsidRDefault="00DF6769" w:rsidP="00110DDD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 w:rsidR="00110DDD">
        <w:rPr>
          <w:i/>
          <w:iCs/>
          <w:sz w:val="22"/>
        </w:rPr>
        <w:t>4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: </w:t>
      </w:r>
      <w:r w:rsidR="00BC25C6">
        <w:rPr>
          <w:sz w:val="22"/>
        </w:rPr>
        <w:t xml:space="preserve">Préciser la valeur des contrats </w:t>
      </w:r>
      <w:proofErr w:type="spellStart"/>
      <w:r w:rsidR="00BC25C6">
        <w:rPr>
          <w:sz w:val="22"/>
        </w:rPr>
        <w:t>Forward</w:t>
      </w:r>
      <w:proofErr w:type="spellEnd"/>
      <w:r w:rsidR="00BC25C6">
        <w:rPr>
          <w:sz w:val="22"/>
        </w:rPr>
        <w:t xml:space="preserve"> d’échéance 3 mois et 6 mois.</w:t>
      </w:r>
    </w:p>
    <w:p w:rsidR="00BC25C6" w:rsidRPr="00E23F4B" w:rsidRDefault="00BC25C6" w:rsidP="00110DDD">
      <w:pPr>
        <w:ind w:left="-540" w:right="-648" w:firstLine="540"/>
        <w:rPr>
          <w:sz w:val="16"/>
          <w:szCs w:val="16"/>
        </w:rPr>
      </w:pPr>
    </w:p>
    <w:p w:rsidR="00BC25C6" w:rsidRDefault="00BC25C6" w:rsidP="00110DDD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5 </w:t>
      </w:r>
      <w:r>
        <w:rPr>
          <w:sz w:val="22"/>
        </w:rPr>
        <w:t xml:space="preserve">: Si le sous-jacent baisse de 3€ (à 281€) et la volatilité passe à 25% (-3%), quelle sera la valeur des 4 </w:t>
      </w:r>
    </w:p>
    <w:p w:rsidR="00BC25C6" w:rsidRDefault="00BC25C6" w:rsidP="00110DDD">
      <w:pPr>
        <w:ind w:left="-540" w:right="-648" w:firstLine="540"/>
        <w:rPr>
          <w:sz w:val="22"/>
        </w:rPr>
      </w:pPr>
      <w:r>
        <w:rPr>
          <w:i/>
          <w:iCs/>
          <w:sz w:val="22"/>
        </w:rPr>
        <w:t xml:space="preserve">         </w:t>
      </w:r>
      <w:proofErr w:type="gramStart"/>
      <w:r>
        <w:rPr>
          <w:sz w:val="22"/>
        </w:rPr>
        <w:t>options</w:t>
      </w:r>
      <w:proofErr w:type="gramEnd"/>
      <w:r>
        <w:rPr>
          <w:sz w:val="22"/>
        </w:rPr>
        <w:t>.</w:t>
      </w:r>
    </w:p>
    <w:p w:rsidR="00BC25C6" w:rsidRPr="00E23F4B" w:rsidRDefault="00BC25C6" w:rsidP="00110DDD">
      <w:pPr>
        <w:ind w:left="-540" w:right="-648" w:firstLine="540"/>
        <w:rPr>
          <w:sz w:val="16"/>
          <w:szCs w:val="16"/>
        </w:rPr>
      </w:pPr>
    </w:p>
    <w:p w:rsidR="00BC25C6" w:rsidRPr="00110DDD" w:rsidRDefault="00BC25C6" w:rsidP="00110DDD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6 </w:t>
      </w:r>
      <w:r>
        <w:rPr>
          <w:sz w:val="22"/>
        </w:rPr>
        <w:t xml:space="preserve">: </w:t>
      </w:r>
      <w:r w:rsidR="00F31998">
        <w:rPr>
          <w:sz w:val="22"/>
        </w:rPr>
        <w:t>Calculer la +/- value des 3 portefeuilles, suite à ces variations.</w:t>
      </w:r>
    </w:p>
    <w:p w:rsidR="00E07220" w:rsidRDefault="00E07220" w:rsidP="00E07220">
      <w:pPr>
        <w:ind w:right="-648"/>
        <w:rPr>
          <w:sz w:val="22"/>
          <w:szCs w:val="12"/>
        </w:rPr>
      </w:pPr>
    </w:p>
    <w:p w:rsidR="00F31998" w:rsidRPr="00EB0381" w:rsidRDefault="00F31998" w:rsidP="00F31998">
      <w:pPr>
        <w:ind w:left="-540" w:right="-648"/>
        <w:rPr>
          <w:b/>
          <w:sz w:val="22"/>
          <w:szCs w:val="12"/>
          <w:u w:val="single"/>
        </w:rPr>
      </w:pPr>
      <w:r w:rsidRPr="00EB0381">
        <w:rPr>
          <w:b/>
          <w:sz w:val="22"/>
          <w:szCs w:val="12"/>
          <w:u w:val="single"/>
        </w:rPr>
        <w:t xml:space="preserve">Exercice </w:t>
      </w:r>
      <w:r w:rsidR="00117D37">
        <w:rPr>
          <w:b/>
          <w:sz w:val="22"/>
          <w:szCs w:val="12"/>
          <w:u w:val="single"/>
        </w:rPr>
        <w:t>N°2</w:t>
      </w:r>
    </w:p>
    <w:p w:rsidR="00F31998" w:rsidRDefault="00F31998" w:rsidP="00F31998">
      <w:pPr>
        <w:ind w:left="-540" w:right="-648"/>
        <w:rPr>
          <w:sz w:val="22"/>
          <w:szCs w:val="12"/>
        </w:rPr>
      </w:pPr>
    </w:p>
    <w:p w:rsidR="00F31998" w:rsidRDefault="00DD01E0" w:rsidP="00F31998">
      <w:pPr>
        <w:ind w:right="-648"/>
        <w:rPr>
          <w:sz w:val="22"/>
        </w:rPr>
      </w:pPr>
      <w:r>
        <w:rPr>
          <w:sz w:val="22"/>
        </w:rPr>
        <w:t>Un trésorier d’entreprise souhaite acquérir du yuan (CNY) à partir d’</w:t>
      </w:r>
      <w:r w:rsidR="00E05FA4">
        <w:rPr>
          <w:sz w:val="22"/>
        </w:rPr>
        <w:t>euro (EUR</w:t>
      </w:r>
      <w:r>
        <w:rPr>
          <w:sz w:val="22"/>
        </w:rPr>
        <w:t>) et il observe les changes spots suivants :</w:t>
      </w:r>
    </w:p>
    <w:p w:rsidR="00DD01E0" w:rsidRDefault="00D011C5" w:rsidP="00DD01E0">
      <w:pPr>
        <w:ind w:right="-648"/>
        <w:jc w:val="center"/>
        <w:rPr>
          <w:sz w:val="22"/>
        </w:rPr>
      </w:pPr>
      <w:r w:rsidRPr="00D011C5">
        <w:rPr>
          <w:noProof/>
          <w:lang w:val="en-US" w:eastAsia="en-US"/>
        </w:rPr>
        <w:drawing>
          <wp:inline distT="0" distB="0" distL="0" distR="0">
            <wp:extent cx="3070860" cy="110892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1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E0" w:rsidRDefault="00DD01E0" w:rsidP="00DD01E0">
      <w:pPr>
        <w:ind w:right="-648"/>
        <w:rPr>
          <w:sz w:val="22"/>
        </w:rPr>
      </w:pPr>
    </w:p>
    <w:p w:rsidR="00DD01E0" w:rsidRDefault="00DD01E0" w:rsidP="00DD01E0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7 </w:t>
      </w:r>
      <w:r>
        <w:rPr>
          <w:sz w:val="22"/>
        </w:rPr>
        <w:t xml:space="preserve">: </w:t>
      </w:r>
      <w:r w:rsidR="00E05FA4">
        <w:rPr>
          <w:sz w:val="22"/>
        </w:rPr>
        <w:t>Comment  avoir  un maximum de yuan avec des €</w:t>
      </w:r>
      <w:r>
        <w:rPr>
          <w:sz w:val="22"/>
        </w:rPr>
        <w:t xml:space="preserve"> (donner le chemin optimal et le meilleur </w:t>
      </w:r>
      <w:proofErr w:type="spellStart"/>
      <w:r>
        <w:rPr>
          <w:sz w:val="22"/>
        </w:rPr>
        <w:t>Bid-Ask</w:t>
      </w:r>
      <w:proofErr w:type="spellEnd"/>
      <w:r>
        <w:rPr>
          <w:sz w:val="22"/>
        </w:rPr>
        <w:t>)</w:t>
      </w:r>
    </w:p>
    <w:p w:rsidR="00E05FA4" w:rsidRPr="00E23F4B" w:rsidRDefault="00E05FA4" w:rsidP="00DD01E0">
      <w:pPr>
        <w:ind w:right="-648"/>
        <w:rPr>
          <w:sz w:val="16"/>
          <w:szCs w:val="16"/>
        </w:rPr>
      </w:pPr>
    </w:p>
    <w:p w:rsidR="00E05FA4" w:rsidRDefault="00E05FA4" w:rsidP="00DD01E0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8 </w:t>
      </w:r>
      <w:r>
        <w:rPr>
          <w:sz w:val="22"/>
        </w:rPr>
        <w:t>: Donner le change à terme (à 6 mois) EUR-CNY</w:t>
      </w:r>
    </w:p>
    <w:p w:rsidR="00F31998" w:rsidRPr="00E23F4B" w:rsidRDefault="00F31998" w:rsidP="00F31998">
      <w:pPr>
        <w:ind w:left="-540" w:right="-648"/>
        <w:rPr>
          <w:sz w:val="16"/>
          <w:szCs w:val="16"/>
        </w:rPr>
      </w:pPr>
    </w:p>
    <w:p w:rsidR="00F31998" w:rsidRDefault="00251C38" w:rsidP="00F31998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N°3</w:t>
      </w:r>
    </w:p>
    <w:p w:rsidR="00F31998" w:rsidRPr="00E23F4B" w:rsidRDefault="00F31998" w:rsidP="00F31998">
      <w:pPr>
        <w:ind w:left="-540" w:right="-648"/>
        <w:rPr>
          <w:b/>
          <w:sz w:val="16"/>
          <w:szCs w:val="16"/>
          <w:u w:val="single"/>
        </w:rPr>
      </w:pPr>
    </w:p>
    <w:p w:rsidR="00F31998" w:rsidRDefault="00C833EF" w:rsidP="00F31998">
      <w:pPr>
        <w:ind w:right="-648"/>
        <w:rPr>
          <w:sz w:val="22"/>
        </w:rPr>
      </w:pPr>
      <w:r>
        <w:rPr>
          <w:sz w:val="22"/>
        </w:rPr>
        <w:t>Un emprunt remboursé In Fine affiche un taux de coupon (i) de 4,50%, une maturité de 7 ans et un taux de rendement de 4,82%.</w:t>
      </w:r>
    </w:p>
    <w:p w:rsidR="00C833EF" w:rsidRPr="00E23F4B" w:rsidRDefault="00C833EF" w:rsidP="00F31998">
      <w:pPr>
        <w:ind w:right="-648"/>
        <w:rPr>
          <w:sz w:val="16"/>
          <w:szCs w:val="16"/>
        </w:rPr>
      </w:pPr>
    </w:p>
    <w:p w:rsidR="00C833EF" w:rsidRDefault="00C833EF" w:rsidP="00F31998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9 </w:t>
      </w:r>
      <w:r>
        <w:rPr>
          <w:sz w:val="22"/>
        </w:rPr>
        <w:t>: Donner le prix, la duration et la convexité de cette obligation</w:t>
      </w:r>
    </w:p>
    <w:p w:rsidR="00C833EF" w:rsidRPr="00E23F4B" w:rsidRDefault="00C833EF" w:rsidP="00F31998">
      <w:pPr>
        <w:ind w:right="-648"/>
        <w:rPr>
          <w:sz w:val="16"/>
          <w:szCs w:val="16"/>
        </w:rPr>
      </w:pPr>
    </w:p>
    <w:p w:rsidR="00F31998" w:rsidRPr="00E23F4B" w:rsidRDefault="00C833EF" w:rsidP="00E23F4B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 w:rsidR="000A0F1C">
        <w:rPr>
          <w:i/>
          <w:iCs/>
          <w:sz w:val="22"/>
        </w:rPr>
        <w:t>10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: Avec une hausse des taux de marché </w:t>
      </w:r>
      <w:r w:rsidR="00821C3B">
        <w:rPr>
          <w:sz w:val="22"/>
        </w:rPr>
        <w:t xml:space="preserve">de +0,40% </w:t>
      </w:r>
      <w:r>
        <w:rPr>
          <w:sz w:val="22"/>
        </w:rPr>
        <w:t>(ou rendement actuariel), quelle sera la +/- value de l’emprunt ?</w:t>
      </w:r>
      <w:bookmarkStart w:id="0" w:name="_GoBack"/>
      <w:bookmarkEnd w:id="0"/>
    </w:p>
    <w:sectPr w:rsidR="00F31998" w:rsidRPr="00E23F4B" w:rsidSect="00EB0381">
      <w:pgSz w:w="11906" w:h="16838"/>
      <w:pgMar w:top="539" w:right="1417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3FCD"/>
    <w:rsid w:val="0003434C"/>
    <w:rsid w:val="0003509A"/>
    <w:rsid w:val="0004681F"/>
    <w:rsid w:val="0005224E"/>
    <w:rsid w:val="00066FE1"/>
    <w:rsid w:val="000806B0"/>
    <w:rsid w:val="000870AB"/>
    <w:rsid w:val="00090437"/>
    <w:rsid w:val="00090C0F"/>
    <w:rsid w:val="00092F3A"/>
    <w:rsid w:val="000A0F1C"/>
    <w:rsid w:val="000B401B"/>
    <w:rsid w:val="000C0C18"/>
    <w:rsid w:val="000C3B94"/>
    <w:rsid w:val="000C6FD3"/>
    <w:rsid w:val="000D2D63"/>
    <w:rsid w:val="000F5DA5"/>
    <w:rsid w:val="00110DDD"/>
    <w:rsid w:val="00115C3B"/>
    <w:rsid w:val="00117D37"/>
    <w:rsid w:val="00127C70"/>
    <w:rsid w:val="00130733"/>
    <w:rsid w:val="00156E29"/>
    <w:rsid w:val="001579EB"/>
    <w:rsid w:val="00180EB2"/>
    <w:rsid w:val="0019741D"/>
    <w:rsid w:val="001C37B1"/>
    <w:rsid w:val="001C7383"/>
    <w:rsid w:val="00251C38"/>
    <w:rsid w:val="00284422"/>
    <w:rsid w:val="00292619"/>
    <w:rsid w:val="002A538F"/>
    <w:rsid w:val="002C169A"/>
    <w:rsid w:val="002C2478"/>
    <w:rsid w:val="002D0719"/>
    <w:rsid w:val="002E3D26"/>
    <w:rsid w:val="003152C0"/>
    <w:rsid w:val="003250FC"/>
    <w:rsid w:val="00325D61"/>
    <w:rsid w:val="00326838"/>
    <w:rsid w:val="00327B3B"/>
    <w:rsid w:val="003326C3"/>
    <w:rsid w:val="00347C4B"/>
    <w:rsid w:val="00361BB7"/>
    <w:rsid w:val="00366A6B"/>
    <w:rsid w:val="003E05CA"/>
    <w:rsid w:val="003F0DDA"/>
    <w:rsid w:val="003F1821"/>
    <w:rsid w:val="003F7825"/>
    <w:rsid w:val="00406C30"/>
    <w:rsid w:val="004263B6"/>
    <w:rsid w:val="00433985"/>
    <w:rsid w:val="004366CD"/>
    <w:rsid w:val="00467E89"/>
    <w:rsid w:val="00470E04"/>
    <w:rsid w:val="00475FDD"/>
    <w:rsid w:val="0048147B"/>
    <w:rsid w:val="00496128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45F1B"/>
    <w:rsid w:val="00683A75"/>
    <w:rsid w:val="006A1455"/>
    <w:rsid w:val="006A6AFB"/>
    <w:rsid w:val="006B01EE"/>
    <w:rsid w:val="006C6ABC"/>
    <w:rsid w:val="006F1322"/>
    <w:rsid w:val="007040C3"/>
    <w:rsid w:val="007120C3"/>
    <w:rsid w:val="0072028C"/>
    <w:rsid w:val="0072353B"/>
    <w:rsid w:val="00753A49"/>
    <w:rsid w:val="00786EAE"/>
    <w:rsid w:val="007B2696"/>
    <w:rsid w:val="007B61A9"/>
    <w:rsid w:val="007C23FD"/>
    <w:rsid w:val="007D1181"/>
    <w:rsid w:val="007D476C"/>
    <w:rsid w:val="007D6C8C"/>
    <w:rsid w:val="00805D4C"/>
    <w:rsid w:val="008116EE"/>
    <w:rsid w:val="00813FC1"/>
    <w:rsid w:val="0082074A"/>
    <w:rsid w:val="00821678"/>
    <w:rsid w:val="00821C3B"/>
    <w:rsid w:val="008A2FBB"/>
    <w:rsid w:val="008D0663"/>
    <w:rsid w:val="008D5488"/>
    <w:rsid w:val="008D6533"/>
    <w:rsid w:val="008D7C7D"/>
    <w:rsid w:val="009115BC"/>
    <w:rsid w:val="0092592D"/>
    <w:rsid w:val="009364A5"/>
    <w:rsid w:val="00965227"/>
    <w:rsid w:val="009B0189"/>
    <w:rsid w:val="009B486F"/>
    <w:rsid w:val="009C56BF"/>
    <w:rsid w:val="009E4D42"/>
    <w:rsid w:val="00A001DA"/>
    <w:rsid w:val="00A20151"/>
    <w:rsid w:val="00A20DA4"/>
    <w:rsid w:val="00A235AB"/>
    <w:rsid w:val="00A267F9"/>
    <w:rsid w:val="00A5480E"/>
    <w:rsid w:val="00A62B0A"/>
    <w:rsid w:val="00A70E60"/>
    <w:rsid w:val="00A71F25"/>
    <w:rsid w:val="00AA1B40"/>
    <w:rsid w:val="00AB3DE7"/>
    <w:rsid w:val="00AC3093"/>
    <w:rsid w:val="00AF60AA"/>
    <w:rsid w:val="00B339C6"/>
    <w:rsid w:val="00B76019"/>
    <w:rsid w:val="00B82082"/>
    <w:rsid w:val="00B933FE"/>
    <w:rsid w:val="00BB1069"/>
    <w:rsid w:val="00BC0EB4"/>
    <w:rsid w:val="00BC25C6"/>
    <w:rsid w:val="00BC3A64"/>
    <w:rsid w:val="00BE4CAE"/>
    <w:rsid w:val="00BF6796"/>
    <w:rsid w:val="00C17520"/>
    <w:rsid w:val="00C404A3"/>
    <w:rsid w:val="00C44DF4"/>
    <w:rsid w:val="00C52A81"/>
    <w:rsid w:val="00C652A3"/>
    <w:rsid w:val="00C833EF"/>
    <w:rsid w:val="00C873BF"/>
    <w:rsid w:val="00CA6CEB"/>
    <w:rsid w:val="00CE309F"/>
    <w:rsid w:val="00CE40ED"/>
    <w:rsid w:val="00CF073B"/>
    <w:rsid w:val="00CF69F1"/>
    <w:rsid w:val="00D011C5"/>
    <w:rsid w:val="00D017B5"/>
    <w:rsid w:val="00D42697"/>
    <w:rsid w:val="00D456B9"/>
    <w:rsid w:val="00D746D7"/>
    <w:rsid w:val="00D748AE"/>
    <w:rsid w:val="00D80B54"/>
    <w:rsid w:val="00D937A4"/>
    <w:rsid w:val="00D9393E"/>
    <w:rsid w:val="00DD01E0"/>
    <w:rsid w:val="00DE30AD"/>
    <w:rsid w:val="00DF6769"/>
    <w:rsid w:val="00E0224B"/>
    <w:rsid w:val="00E044BD"/>
    <w:rsid w:val="00E05FA4"/>
    <w:rsid w:val="00E06BBF"/>
    <w:rsid w:val="00E07220"/>
    <w:rsid w:val="00E23F4B"/>
    <w:rsid w:val="00E610BC"/>
    <w:rsid w:val="00E83C16"/>
    <w:rsid w:val="00E86D3A"/>
    <w:rsid w:val="00EB0381"/>
    <w:rsid w:val="00EC09BA"/>
    <w:rsid w:val="00F31998"/>
    <w:rsid w:val="00F32013"/>
    <w:rsid w:val="00F529D1"/>
    <w:rsid w:val="00F52A5E"/>
    <w:rsid w:val="00F72623"/>
    <w:rsid w:val="00FC69B4"/>
    <w:rsid w:val="00FD3E7E"/>
    <w:rsid w:val="00FF0204"/>
    <w:rsid w:val="00FF05E0"/>
    <w:rsid w:val="00FF1C66"/>
    <w:rsid w:val="00FF21A3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268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26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FRANCOIS-HEUDE</cp:lastModifiedBy>
  <cp:revision>13</cp:revision>
  <cp:lastPrinted>2016-02-10T20:29:00Z</cp:lastPrinted>
  <dcterms:created xsi:type="dcterms:W3CDTF">2017-11-03T15:00:00Z</dcterms:created>
  <dcterms:modified xsi:type="dcterms:W3CDTF">2018-10-18T16:32:00Z</dcterms:modified>
</cp:coreProperties>
</file>