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EA" w:rsidRDefault="00F358EA" w:rsidP="00F358EA">
      <w:pPr>
        <w:pStyle w:val="TM1"/>
        <w:rPr>
          <w:rFonts w:ascii="Garamond" w:hAnsi="Garamond"/>
          <w:b w:val="0"/>
          <w:noProof/>
          <w:sz w:val="22"/>
          <w:szCs w:val="22"/>
        </w:rPr>
      </w:pPr>
    </w:p>
    <w:p w:rsidR="00F358EA" w:rsidRDefault="00F358EA" w:rsidP="00F358EA">
      <w:pPr>
        <w:pStyle w:val="TM1"/>
        <w:rPr>
          <w:rFonts w:ascii="Garamond" w:hAnsi="Garamond"/>
          <w:b w:val="0"/>
          <w:noProof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t xml:space="preserve"> Partie préliminaire  les biens et le droit des biens</w:t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Chapitre 1   La notion de biens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_Toc504992137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6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Section un    Les critères essentiels à la définition de bien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_Toc504992138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8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hAnsi="Garamond"/>
          <w:i w:val="0"/>
          <w:noProof/>
          <w:sz w:val="22"/>
          <w:szCs w:val="22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La relation d’appropriation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_Toc504992139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2§ L’objet du droit des biens : Des choses et des droits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_Toc504992145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12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   Les choses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_Toc504992146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12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hAnsi="Garamond"/>
          <w:noProof/>
          <w:sz w:val="22"/>
          <w:szCs w:val="22"/>
        </w:rPr>
      </w:pPr>
      <w:r w:rsidRPr="00F47BEB">
        <w:rPr>
          <w:rFonts w:ascii="Garamond" w:hAnsi="Garamond"/>
          <w:noProof/>
          <w:sz w:val="22"/>
          <w:szCs w:val="22"/>
        </w:rPr>
        <w:t>II   les droits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_Toc504992147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13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A</w:t>
      </w:r>
      <w:r>
        <w:rPr>
          <w:rFonts w:ascii="Garamond" w:hAnsi="Garamond"/>
          <w:noProof/>
          <w:sz w:val="22"/>
          <w:szCs w:val="22"/>
        </w:rPr>
        <w:t xml:space="preserve">   </w:t>
      </w:r>
      <w:r w:rsidRPr="00F47BEB">
        <w:rPr>
          <w:rFonts w:ascii="Garamond" w:hAnsi="Garamond"/>
          <w:noProof/>
          <w:sz w:val="22"/>
          <w:szCs w:val="22"/>
        </w:rPr>
        <w:t>Les droits personnels sont des biens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_Toc504992148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14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B   Les droits réels sont des biens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_Toc504992149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15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Section deux Les critères dérivés de la qualification de bien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_Toc504992150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17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hAnsi="Garamond"/>
          <w:i w:val="0"/>
          <w:noProof/>
          <w:sz w:val="22"/>
          <w:szCs w:val="22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La commercialité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_Toc504992151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17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 §  La saisissabilité ( le caractère saisissable)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_Toc504992152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18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Chapitre 2        Le patrimoine : un ensemble de biens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_Toc504992153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21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Sous  chapitre un :   La notion de patrimoine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_Toc504992154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21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Section 1    Une  conception classique du patrimoine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_Toc504992155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22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hAnsi="Garamond"/>
          <w:i w:val="0"/>
          <w:noProof/>
          <w:sz w:val="22"/>
          <w:szCs w:val="22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 § le patrimoine est une universalité de droit (juridique)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_Toc504992156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22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2§ Les caractéristiques du patrimoine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_Toc504992158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24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left="-2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 le caractère économique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_Toc504992159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24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left="-2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II un caractère subjectif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_Toc504992160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25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tabs>
          <w:tab w:val="decimal" w:pos="-14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Section 2  La remise en cause de la théorie classique et l’avènement du patrimoine d’affectation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_Toc504992161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26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1 § Des outils légaux pour remédier aux inconvénients de la théorie de l’unicité du patrimoine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_Toc504992162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26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2 § La reconnaissance des patrimoines d’affectation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_Toc504992163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27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   La fiducie,  la loi du 19 fev 2007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_Toc504992164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28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II  l’EIRL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_Toc504992165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30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tabs>
          <w:tab w:val="decimal" w:pos="-142"/>
        </w:tabs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Chapitre 2     la  Composition du patrimoine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_Toc504992167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32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noProof/>
          <w:sz w:val="22"/>
          <w:szCs w:val="22"/>
        </w:rPr>
        <w:t>Section 1    Les    éléments  du patrimoine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_Toc504992168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noProof/>
          <w:sz w:val="22"/>
          <w:szCs w:val="22"/>
        </w:rPr>
        <w:t>Sous section 1   La classification principale des biens : la distinction entre  immeubles et  meubles</w:t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la définition des immeubles /  meubles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_Toc504992170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34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     les immeubles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_Toc504992171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34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A   les immeubles par nature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_Toc504992172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34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B     les immeubles par destination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_Toc504992173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35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C     les immeubles par l’objet auxquels ils s’appliquent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_Toc504992174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38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II   les meubles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39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A     Les meubles par leur nature.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_Toc504992176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40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hAnsi="Garamond"/>
          <w:i w:val="0"/>
          <w:noProof/>
          <w:sz w:val="22"/>
          <w:szCs w:val="22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B         Les meubles par détermination de la loi 529 et 530 du code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_Toc504992177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40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ind w:left="-284"/>
        <w:rPr>
          <w:rFonts w:ascii="Garamond" w:eastAsiaTheme="minorEastAsia" w:hAnsi="Garamond"/>
          <w:sz w:val="22"/>
          <w:szCs w:val="22"/>
        </w:rPr>
      </w:pPr>
      <w:r w:rsidRPr="00F47BEB">
        <w:rPr>
          <w:rFonts w:ascii="Garamond" w:eastAsiaTheme="minorEastAsia" w:hAnsi="Garamond"/>
          <w:sz w:val="22"/>
          <w:szCs w:val="22"/>
        </w:rPr>
        <w:t>1) les meubles prévus par le code civil</w:t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left="-2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color w:val="000000"/>
          <w:sz w:val="22"/>
          <w:szCs w:val="22"/>
        </w:rPr>
        <w:t>2)  les biens  meubles incorporels hors du code civil.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_Toc504992178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45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C       Les meubles par anticipation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_Toc504992179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46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2§  Intérêt de la distinction immeuble meuble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_Toc504992180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47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Sous section 2           Les classifications secondaires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_Toc504992184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 Une distinction fondée sur le mode d’utilisation des biens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iCs/>
          <w:noProof/>
          <w:sz w:val="22"/>
          <w:szCs w:val="22"/>
        </w:rPr>
        <w:t>I  Les biens consomptibles et non consomptibles.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_Toc504992186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49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iCs/>
          <w:noProof/>
          <w:sz w:val="22"/>
          <w:szCs w:val="22"/>
        </w:rPr>
        <w:t>II     les  biens fongibles ou non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_Toc504992187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50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iCs/>
          <w:noProof/>
          <w:sz w:val="22"/>
          <w:szCs w:val="22"/>
        </w:rPr>
        <w:t>III  Les biens productifs et les biens frugifères..(583 à 585)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_Toc504992188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51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hAnsi="Garamond"/>
          <w:i w:val="0"/>
          <w:noProof/>
          <w:sz w:val="22"/>
          <w:szCs w:val="22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 §  Distinction bien corporel et incorporel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_Toc504992189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54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tabs>
          <w:tab w:val="clear" w:pos="567"/>
          <w:tab w:val="decimal" w:pos="-142"/>
        </w:tabs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3 §   Une distinction entre les biens hors commerce et dans le commerce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_Toc504992190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55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I) Des choses licites exclues du marché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_Toc504992192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58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a)Les sépultures, les tombeaux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_Toc504992193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59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b)  Les agréments  et   les autorisations administratives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_Toc504992196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59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c)  Les biens du domaine public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_Toc504992200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62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decimal" w:pos="-142"/>
          <w:tab w:val="right" w:leader="dot" w:pos="9061"/>
        </w:tabs>
        <w:ind w:hanging="68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2) Des biens illicites exclus du marché.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_Toc504992201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63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Section 2      Les droits patrimoniaux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_Toc504992203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63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1"/>
        <w:rPr>
          <w:rFonts w:ascii="Garamond" w:eastAsiaTheme="minorEastAsia" w:hAnsi="Garamond" w:cstheme="minorBidi"/>
          <w:b w:val="0"/>
          <w:bCs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 w:val="0"/>
          <w:noProof/>
          <w:sz w:val="22"/>
          <w:szCs w:val="22"/>
        </w:rPr>
        <w:t>Sous section 1 Distinction droits réels / droits personnels.</w:t>
      </w:r>
      <w:r w:rsidRPr="00F47BEB">
        <w:rPr>
          <w:rFonts w:ascii="Garamond" w:hAnsi="Garamond"/>
          <w:b w:val="0"/>
          <w:noProof/>
          <w:sz w:val="22"/>
          <w:szCs w:val="22"/>
        </w:rPr>
        <w:tab/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b w:val="0"/>
          <w:noProof/>
          <w:sz w:val="22"/>
          <w:szCs w:val="22"/>
        </w:rPr>
        <w:instrText xml:space="preserve"> PAGEREF _Toc504992204 \h </w:instrText>
      </w:r>
      <w:r w:rsidRPr="00F47BEB">
        <w:rPr>
          <w:rFonts w:ascii="Garamond" w:hAnsi="Garamond"/>
          <w:b w:val="0"/>
          <w:noProof/>
          <w:sz w:val="22"/>
          <w:szCs w:val="22"/>
        </w:rPr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b w:val="0"/>
          <w:noProof/>
          <w:sz w:val="22"/>
          <w:szCs w:val="22"/>
        </w:rPr>
        <w:t>64</w:t>
      </w:r>
      <w:r w:rsidRPr="00F47BEB">
        <w:rPr>
          <w:rFonts w:ascii="Garamond" w:hAnsi="Garamond"/>
          <w:b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 Les droits réels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_Toc504992205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66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  Notion de droit réel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_Toc504992206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66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lastRenderedPageBreak/>
        <w:t xml:space="preserve"> A La remise en cause du « numerus clausus » des droits réels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_Toc504992207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67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4"/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B) Les caractéristiques du droit réel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_Toc504992208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67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II   Typologie des droits réels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_Toc504992209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68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bCs/>
          <w:i w:val="0"/>
          <w:noProof/>
          <w:sz w:val="22"/>
          <w:szCs w:val="22"/>
        </w:rPr>
        <w:t>A   Les droits réels principaux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_Toc504992210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69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B les droits réels accessoires ou droits réels de garantie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_Toc504992211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70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2§ les droits personnels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_Toc504992212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   Notion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_Toc504992213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72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II typologie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_Toc504992214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73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Sous section deux  la distinction droit réel droit personnels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_Toc504992215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73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1§ des différences de régime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_Toc504992216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73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2"/>
        <w:rPr>
          <w:rFonts w:ascii="Garamond" w:eastAsiaTheme="minorEastAsia" w:hAnsi="Garamond" w:cstheme="minorBidi"/>
          <w:i w:val="0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i w:val="0"/>
          <w:noProof/>
          <w:sz w:val="22"/>
          <w:szCs w:val="22"/>
        </w:rPr>
        <w:t>2§ les  situations intermédiaires</w:t>
      </w:r>
      <w:r w:rsidRPr="00F47BEB">
        <w:rPr>
          <w:rFonts w:ascii="Garamond" w:hAnsi="Garamond"/>
          <w:i w:val="0"/>
          <w:noProof/>
          <w:sz w:val="22"/>
          <w:szCs w:val="22"/>
        </w:rPr>
        <w:tab/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i w:val="0"/>
          <w:noProof/>
          <w:sz w:val="22"/>
          <w:szCs w:val="22"/>
        </w:rPr>
        <w:instrText xml:space="preserve"> PAGEREF _Toc504992217 \h </w:instrText>
      </w:r>
      <w:r w:rsidRPr="00F47BEB">
        <w:rPr>
          <w:rFonts w:ascii="Garamond" w:hAnsi="Garamond"/>
          <w:i w:val="0"/>
          <w:noProof/>
          <w:sz w:val="22"/>
          <w:szCs w:val="22"/>
        </w:rPr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i w:val="0"/>
          <w:noProof/>
          <w:sz w:val="22"/>
          <w:szCs w:val="22"/>
        </w:rPr>
        <w:t>75</w:t>
      </w:r>
      <w:r w:rsidRPr="00F47BEB">
        <w:rPr>
          <w:rFonts w:ascii="Garamond" w:hAnsi="Garamond"/>
          <w:i w:val="0"/>
          <w:noProof/>
          <w:sz w:val="22"/>
          <w:szCs w:val="22"/>
        </w:rPr>
        <w:fldChar w:fldCharType="end"/>
      </w:r>
    </w:p>
    <w:p w:rsidR="00F358EA" w:rsidRPr="00F47BEB" w:rsidRDefault="00F358EA" w:rsidP="00F358EA">
      <w:pPr>
        <w:pStyle w:val="TM3"/>
        <w:tabs>
          <w:tab w:val="right" w:leader="dot" w:pos="9061"/>
        </w:tabs>
        <w:rPr>
          <w:rFonts w:ascii="Garamond" w:eastAsiaTheme="minorEastAsia" w:hAnsi="Garamond" w:cstheme="minorBidi"/>
          <w:noProof/>
          <w:sz w:val="22"/>
          <w:szCs w:val="22"/>
          <w:lang w:eastAsia="fr-FR"/>
        </w:rPr>
      </w:pPr>
      <w:r w:rsidRPr="00F47BEB">
        <w:rPr>
          <w:rFonts w:ascii="Garamond" w:hAnsi="Garamond"/>
          <w:noProof/>
          <w:sz w:val="22"/>
          <w:szCs w:val="22"/>
        </w:rPr>
        <w:t>Conclusion de la partie préliminaire</w:t>
      </w:r>
      <w:r w:rsidRPr="00F47BEB">
        <w:rPr>
          <w:rFonts w:ascii="Garamond" w:hAnsi="Garamond"/>
          <w:noProof/>
          <w:sz w:val="22"/>
          <w:szCs w:val="22"/>
        </w:rPr>
        <w:tab/>
      </w:r>
      <w:r w:rsidRPr="00F47BEB">
        <w:rPr>
          <w:rFonts w:ascii="Garamond" w:hAnsi="Garamond"/>
          <w:noProof/>
          <w:sz w:val="22"/>
          <w:szCs w:val="22"/>
        </w:rPr>
        <w:fldChar w:fldCharType="begin"/>
      </w:r>
      <w:r w:rsidRPr="00F47BEB">
        <w:rPr>
          <w:rFonts w:ascii="Garamond" w:hAnsi="Garamond"/>
          <w:noProof/>
          <w:sz w:val="22"/>
          <w:szCs w:val="22"/>
        </w:rPr>
        <w:instrText xml:space="preserve"> PAGEREF _Toc504992218 \h </w:instrText>
      </w:r>
      <w:r w:rsidRPr="00F47BEB">
        <w:rPr>
          <w:rFonts w:ascii="Garamond" w:hAnsi="Garamond"/>
          <w:noProof/>
          <w:sz w:val="22"/>
          <w:szCs w:val="22"/>
        </w:rPr>
      </w:r>
      <w:r w:rsidRPr="00F47BEB">
        <w:rPr>
          <w:rFonts w:ascii="Garamond" w:hAnsi="Garamond"/>
          <w:noProof/>
          <w:sz w:val="22"/>
          <w:szCs w:val="22"/>
        </w:rPr>
        <w:fldChar w:fldCharType="separate"/>
      </w:r>
      <w:r w:rsidRPr="00F47BEB">
        <w:rPr>
          <w:rFonts w:ascii="Garamond" w:hAnsi="Garamond"/>
          <w:noProof/>
          <w:sz w:val="22"/>
          <w:szCs w:val="22"/>
        </w:rPr>
        <w:t>77</w:t>
      </w:r>
      <w:r w:rsidRPr="00F47BEB">
        <w:rPr>
          <w:rFonts w:ascii="Garamond" w:hAnsi="Garamond"/>
          <w:noProof/>
          <w:sz w:val="22"/>
          <w:szCs w:val="22"/>
        </w:rPr>
        <w:fldChar w:fldCharType="end"/>
      </w:r>
    </w:p>
    <w:p w:rsidR="000A0932" w:rsidRDefault="000A0932">
      <w:bookmarkStart w:id="0" w:name="_GoBack"/>
      <w:bookmarkEnd w:id="0"/>
    </w:p>
    <w:sectPr w:rsidR="000A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44C"/>
    <w:multiLevelType w:val="multilevel"/>
    <w:tmpl w:val="6DD05B70"/>
    <w:name w:val="NUMPN2"/>
    <w:lvl w:ilvl="0">
      <w:start w:val="1"/>
      <w:numFmt w:val="decimal"/>
      <w:pStyle w:val="numrot"/>
      <w:lvlText w:val="%1."/>
      <w:lvlJc w:val="left"/>
      <w:pPr>
        <w:ind w:left="546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. - "/>
      <w:lvlJc w:val="left"/>
      <w:pPr>
        <w:ind w:left="524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24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4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4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6" w:firstLine="0"/>
      </w:pPr>
      <w:rPr>
        <w:rFonts w:hint="default"/>
      </w:rPr>
    </w:lvl>
    <w:lvl w:ilvl="6">
      <w:start w:val="1"/>
      <w:numFmt w:val="none"/>
      <w:suff w:val="space"/>
      <w:lvlText w:val="séparateur"/>
      <w:lvlJc w:val="left"/>
      <w:pPr>
        <w:ind w:left="5246" w:firstLine="0"/>
      </w:pPr>
      <w:rPr>
        <w:rFonts w:hint="default"/>
        <w:sz w:val="16"/>
      </w:rPr>
    </w:lvl>
    <w:lvl w:ilvl="7">
      <w:start w:val="1"/>
      <w:numFmt w:val="none"/>
      <w:lvlRestart w:val="0"/>
      <w:lvlText w:val="ligne de points"/>
      <w:lvlJc w:val="left"/>
      <w:pPr>
        <w:ind w:left="5246" w:firstLine="0"/>
      </w:pPr>
      <w:rPr>
        <w:rFonts w:hint="default"/>
        <w:sz w:val="16"/>
        <w:u w:val="dotted"/>
      </w:rPr>
    </w:lvl>
    <w:lvl w:ilvl="8">
      <w:start w:val="1"/>
      <w:numFmt w:val="none"/>
      <w:lvlRestart w:val="0"/>
      <w:lvlText w:val=""/>
      <w:lvlJc w:val="right"/>
      <w:pPr>
        <w:ind w:left="524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A"/>
    <w:rsid w:val="00067B0E"/>
    <w:rsid w:val="00086B9F"/>
    <w:rsid w:val="000A0932"/>
    <w:rsid w:val="000A1238"/>
    <w:rsid w:val="001B3057"/>
    <w:rsid w:val="001C2923"/>
    <w:rsid w:val="001D7F5C"/>
    <w:rsid w:val="00232301"/>
    <w:rsid w:val="002C115D"/>
    <w:rsid w:val="00395160"/>
    <w:rsid w:val="003B0B9F"/>
    <w:rsid w:val="003F79E8"/>
    <w:rsid w:val="00401E6E"/>
    <w:rsid w:val="00422F75"/>
    <w:rsid w:val="00450ADA"/>
    <w:rsid w:val="00460CB7"/>
    <w:rsid w:val="0047346E"/>
    <w:rsid w:val="004C2641"/>
    <w:rsid w:val="005415D8"/>
    <w:rsid w:val="00562C08"/>
    <w:rsid w:val="00570A1D"/>
    <w:rsid w:val="00577327"/>
    <w:rsid w:val="00584429"/>
    <w:rsid w:val="005D1E1A"/>
    <w:rsid w:val="005E0366"/>
    <w:rsid w:val="005E133A"/>
    <w:rsid w:val="005E4733"/>
    <w:rsid w:val="00623D8B"/>
    <w:rsid w:val="00632868"/>
    <w:rsid w:val="006554A2"/>
    <w:rsid w:val="00750CB9"/>
    <w:rsid w:val="007E3977"/>
    <w:rsid w:val="0082447D"/>
    <w:rsid w:val="008433AB"/>
    <w:rsid w:val="00846112"/>
    <w:rsid w:val="008529ED"/>
    <w:rsid w:val="00897866"/>
    <w:rsid w:val="008B759F"/>
    <w:rsid w:val="008E55AE"/>
    <w:rsid w:val="008F1E93"/>
    <w:rsid w:val="00911E74"/>
    <w:rsid w:val="009856DC"/>
    <w:rsid w:val="009C391B"/>
    <w:rsid w:val="009D6D26"/>
    <w:rsid w:val="009F0A5A"/>
    <w:rsid w:val="00A460D8"/>
    <w:rsid w:val="00A729AE"/>
    <w:rsid w:val="00AB1233"/>
    <w:rsid w:val="00AD018C"/>
    <w:rsid w:val="00B123E4"/>
    <w:rsid w:val="00B555B0"/>
    <w:rsid w:val="00BE1895"/>
    <w:rsid w:val="00BE2B3F"/>
    <w:rsid w:val="00D0442A"/>
    <w:rsid w:val="00D3115E"/>
    <w:rsid w:val="00D73922"/>
    <w:rsid w:val="00D92979"/>
    <w:rsid w:val="00DA217D"/>
    <w:rsid w:val="00DC068F"/>
    <w:rsid w:val="00DC3CBD"/>
    <w:rsid w:val="00DD20A3"/>
    <w:rsid w:val="00E8245E"/>
    <w:rsid w:val="00ED06AB"/>
    <w:rsid w:val="00ED34D0"/>
    <w:rsid w:val="00F0417F"/>
    <w:rsid w:val="00F358EA"/>
    <w:rsid w:val="00F40D8A"/>
    <w:rsid w:val="00FD27CD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">
    <w:name w:val="§ numéroté"/>
    <w:basedOn w:val="Normal"/>
    <w:next w:val="Normal"/>
    <w:autoRedefine/>
    <w:uiPriority w:val="18"/>
    <w:qFormat/>
    <w:rsid w:val="00450ADA"/>
    <w:pPr>
      <w:keepNext/>
      <w:keepLines/>
      <w:numPr>
        <w:numId w:val="1"/>
      </w:numPr>
      <w:tabs>
        <w:tab w:val="left" w:pos="851"/>
      </w:tabs>
      <w:suppressAutoHyphens w:val="0"/>
      <w:spacing w:before="120" w:after="60"/>
      <w:outlineLvl w:val="7"/>
    </w:pPr>
    <w:rPr>
      <w:rFonts w:eastAsiaTheme="minorEastAsia" w:cstheme="minorBidi"/>
      <w:b/>
      <w:color w:val="FFFFFF" w:themeColor="background1"/>
      <w:lang w:eastAsia="en-US"/>
    </w:rPr>
  </w:style>
  <w:style w:type="paragraph" w:styleId="TM1">
    <w:name w:val="toc 1"/>
    <w:basedOn w:val="Normal"/>
    <w:next w:val="Normal"/>
    <w:uiPriority w:val="39"/>
    <w:rsid w:val="00F358EA"/>
    <w:pPr>
      <w:tabs>
        <w:tab w:val="right" w:leader="dot" w:pos="9062"/>
      </w:tabs>
      <w:ind w:left="-284"/>
    </w:pPr>
    <w:rPr>
      <w:rFonts w:ascii="Calibri" w:hAnsi="Calibri"/>
      <w:b/>
      <w:bCs/>
    </w:rPr>
  </w:style>
  <w:style w:type="paragraph" w:styleId="TM2">
    <w:name w:val="toc 2"/>
    <w:basedOn w:val="Normal"/>
    <w:next w:val="Normal"/>
    <w:uiPriority w:val="39"/>
    <w:rsid w:val="00F358EA"/>
    <w:pPr>
      <w:tabs>
        <w:tab w:val="decimal" w:pos="567"/>
        <w:tab w:val="right" w:leader="dot" w:pos="9062"/>
      </w:tabs>
      <w:ind w:left="-284"/>
    </w:pPr>
    <w:rPr>
      <w:rFonts w:ascii="Calibri" w:hAnsi="Calibri"/>
      <w:i/>
    </w:rPr>
  </w:style>
  <w:style w:type="paragraph" w:styleId="TM3">
    <w:name w:val="toc 3"/>
    <w:basedOn w:val="Normal"/>
    <w:next w:val="Normal"/>
    <w:uiPriority w:val="39"/>
    <w:rsid w:val="00F358EA"/>
    <w:pPr>
      <w:ind w:left="400"/>
    </w:pPr>
  </w:style>
  <w:style w:type="paragraph" w:styleId="TM4">
    <w:name w:val="toc 4"/>
    <w:basedOn w:val="Normal"/>
    <w:next w:val="Normal"/>
    <w:uiPriority w:val="39"/>
    <w:rsid w:val="00F358EA"/>
    <w:pPr>
      <w:tabs>
        <w:tab w:val="right" w:leader="dot" w:pos="9062"/>
      </w:tabs>
      <w:ind w:left="-284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">
    <w:name w:val="§ numéroté"/>
    <w:basedOn w:val="Normal"/>
    <w:next w:val="Normal"/>
    <w:autoRedefine/>
    <w:uiPriority w:val="18"/>
    <w:qFormat/>
    <w:rsid w:val="00450ADA"/>
    <w:pPr>
      <w:keepNext/>
      <w:keepLines/>
      <w:numPr>
        <w:numId w:val="1"/>
      </w:numPr>
      <w:tabs>
        <w:tab w:val="left" w:pos="851"/>
      </w:tabs>
      <w:suppressAutoHyphens w:val="0"/>
      <w:spacing w:before="120" w:after="60"/>
      <w:outlineLvl w:val="7"/>
    </w:pPr>
    <w:rPr>
      <w:rFonts w:eastAsiaTheme="minorEastAsia" w:cstheme="minorBidi"/>
      <w:b/>
      <w:color w:val="FFFFFF" w:themeColor="background1"/>
      <w:lang w:eastAsia="en-US"/>
    </w:rPr>
  </w:style>
  <w:style w:type="paragraph" w:styleId="TM1">
    <w:name w:val="toc 1"/>
    <w:basedOn w:val="Normal"/>
    <w:next w:val="Normal"/>
    <w:uiPriority w:val="39"/>
    <w:rsid w:val="00F358EA"/>
    <w:pPr>
      <w:tabs>
        <w:tab w:val="right" w:leader="dot" w:pos="9062"/>
      </w:tabs>
      <w:ind w:left="-284"/>
    </w:pPr>
    <w:rPr>
      <w:rFonts w:ascii="Calibri" w:hAnsi="Calibri"/>
      <w:b/>
      <w:bCs/>
    </w:rPr>
  </w:style>
  <w:style w:type="paragraph" w:styleId="TM2">
    <w:name w:val="toc 2"/>
    <w:basedOn w:val="Normal"/>
    <w:next w:val="Normal"/>
    <w:uiPriority w:val="39"/>
    <w:rsid w:val="00F358EA"/>
    <w:pPr>
      <w:tabs>
        <w:tab w:val="decimal" w:pos="567"/>
        <w:tab w:val="right" w:leader="dot" w:pos="9062"/>
      </w:tabs>
      <w:ind w:left="-284"/>
    </w:pPr>
    <w:rPr>
      <w:rFonts w:ascii="Calibri" w:hAnsi="Calibri"/>
      <w:i/>
    </w:rPr>
  </w:style>
  <w:style w:type="paragraph" w:styleId="TM3">
    <w:name w:val="toc 3"/>
    <w:basedOn w:val="Normal"/>
    <w:next w:val="Normal"/>
    <w:uiPriority w:val="39"/>
    <w:rsid w:val="00F358EA"/>
    <w:pPr>
      <w:ind w:left="400"/>
    </w:pPr>
  </w:style>
  <w:style w:type="paragraph" w:styleId="TM4">
    <w:name w:val="toc 4"/>
    <w:basedOn w:val="Normal"/>
    <w:next w:val="Normal"/>
    <w:uiPriority w:val="39"/>
    <w:rsid w:val="00F358EA"/>
    <w:pPr>
      <w:tabs>
        <w:tab w:val="right" w:leader="dot" w:pos="9062"/>
      </w:tabs>
      <w:ind w:left="-284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Univsersité Montpellier 2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2018-01-29T11:33:00Z</dcterms:created>
  <dcterms:modified xsi:type="dcterms:W3CDTF">2018-01-29T11:33:00Z</dcterms:modified>
</cp:coreProperties>
</file>